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F37C" w14:textId="77777777" w:rsidR="00105069" w:rsidRDefault="00F7279A" w:rsidP="00D92029">
      <w:pPr>
        <w:spacing w:after="0"/>
        <w:jc w:val="center"/>
        <w:rPr>
          <w:caps/>
          <w:sz w:val="16"/>
        </w:rPr>
      </w:pPr>
      <w:r>
        <w:rPr>
          <w:noProof/>
          <w:lang w:eastAsia="de-DE"/>
        </w:rPr>
        <w:drawing>
          <wp:inline distT="0" distB="0" distL="0" distR="0" wp14:anchorId="0F02591E" wp14:editId="68218859">
            <wp:extent cx="2028825" cy="831850"/>
            <wp:effectExtent l="0" t="0" r="9525" b="6350"/>
            <wp:docPr id="5" name="Bild 11" descr="Logo Land Baden-Württem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atsmin_GU_4c_DOS_halbiert_ohne%20ST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br/>
      </w:r>
      <w:r w:rsidR="00105069">
        <w:rPr>
          <w:caps/>
          <w:sz w:val="16"/>
        </w:rPr>
        <w:t xml:space="preserve">Ministerium Für Wirtschaft, ARBEIT UND </w:t>
      </w:r>
      <w:r w:rsidR="00105069" w:rsidRPr="006F2EA5">
        <w:rPr>
          <w:caps/>
          <w:sz w:val="16"/>
        </w:rPr>
        <w:t>Tourismu</w:t>
      </w:r>
      <w:r w:rsidR="00105069">
        <w:rPr>
          <w:caps/>
          <w:sz w:val="16"/>
        </w:rPr>
        <w:t>S</w:t>
      </w:r>
    </w:p>
    <w:p w14:paraId="6E9DBF53" w14:textId="77777777" w:rsidR="00655525" w:rsidRDefault="00655525" w:rsidP="00D92029">
      <w:pPr>
        <w:spacing w:after="0"/>
        <w:jc w:val="center"/>
        <w:rPr>
          <w:rFonts w:cs="Arial"/>
          <w:szCs w:val="24"/>
        </w:rPr>
      </w:pPr>
    </w:p>
    <w:p w14:paraId="34C1C6D8" w14:textId="77777777" w:rsidR="000C3EA5" w:rsidRDefault="00105069" w:rsidP="00D92029">
      <w:pPr>
        <w:spacing w:after="0"/>
        <w:jc w:val="center"/>
        <w:rPr>
          <w:rFonts w:cs="Arial"/>
          <w:szCs w:val="24"/>
        </w:rPr>
      </w:pPr>
      <w:r w:rsidRPr="00A50C20">
        <w:rPr>
          <w:caps/>
          <w:noProof/>
          <w:sz w:val="16"/>
          <w:lang w:eastAsia="de-DE"/>
        </w:rPr>
        <w:drawing>
          <wp:inline distT="0" distB="0" distL="0" distR="0" wp14:anchorId="69789DDD" wp14:editId="534D17D4">
            <wp:extent cx="2675255" cy="858520"/>
            <wp:effectExtent l="0" t="0" r="0" b="0"/>
            <wp:docPr id="3" name="Grafik 3" descr="Logo WEITER.mit.BILDUNG@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Abteilung 2\Referat 23\Referatsablage\GEMEINSAME WEITERBILDUNGSOFFENSIVE WEITER.mit.BILDUNG@BW\Logos WmB\Logos WmB\Logo_Endfassung zur Verwendung\Version_Quer\4c_Druck\Signet_WmB_quer_4c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1155" w14:textId="77777777" w:rsidR="00F7279A" w:rsidRDefault="00F7279A" w:rsidP="00D92029">
      <w:pPr>
        <w:pStyle w:val="Tite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039A95" w14:textId="77777777" w:rsidR="00F7279A" w:rsidRPr="00F7279A" w:rsidRDefault="00F7279A" w:rsidP="002353B4">
      <w:pPr>
        <w:pStyle w:val="Tite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279A">
        <w:rPr>
          <w:rFonts w:ascii="Arial" w:hAnsi="Arial" w:cs="Arial"/>
          <w:b/>
          <w:sz w:val="24"/>
          <w:szCs w:val="24"/>
        </w:rPr>
        <w:t>Förderaufruf</w:t>
      </w:r>
    </w:p>
    <w:p w14:paraId="1C4E2285" w14:textId="77777777" w:rsidR="00F7279A" w:rsidRPr="00F7279A" w:rsidRDefault="00F7279A" w:rsidP="002353B4">
      <w:pPr>
        <w:pStyle w:val="Tite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C8EFA5D" w14:textId="77777777" w:rsidR="00F7279A" w:rsidRPr="00F7279A" w:rsidRDefault="00F7279A" w:rsidP="00AD2E89">
      <w:pPr>
        <w:pStyle w:val="Tite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279A">
        <w:rPr>
          <w:rFonts w:ascii="Arial" w:hAnsi="Arial" w:cs="Arial"/>
          <w:b/>
          <w:sz w:val="24"/>
          <w:szCs w:val="24"/>
        </w:rPr>
        <w:t>des Ministeriums für Wirtschaft, Arbeit und Tourismus</w:t>
      </w:r>
    </w:p>
    <w:p w14:paraId="1427CEE1" w14:textId="77777777" w:rsidR="00F7279A" w:rsidRPr="00F7279A" w:rsidRDefault="00F7279A" w:rsidP="00AD2E89">
      <w:pPr>
        <w:pStyle w:val="Tite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279A">
        <w:rPr>
          <w:rFonts w:ascii="Arial" w:hAnsi="Arial" w:cs="Arial"/>
          <w:b/>
          <w:sz w:val="24"/>
          <w:szCs w:val="24"/>
        </w:rPr>
        <w:t>Baden-Württemberg</w:t>
      </w:r>
    </w:p>
    <w:p w14:paraId="56384269" w14:textId="77777777" w:rsidR="00F7279A" w:rsidRPr="00F7279A" w:rsidRDefault="00F7279A" w:rsidP="00AD2E89">
      <w:pPr>
        <w:pStyle w:val="Tite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758AA95" w14:textId="07A1ACBD" w:rsidR="00F7279A" w:rsidRPr="00AD2E89" w:rsidRDefault="00F7279A" w:rsidP="00AD2E89">
      <w:pPr>
        <w:pStyle w:val="Tite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b/>
          <w:sz w:val="24"/>
          <w:szCs w:val="24"/>
        </w:rPr>
        <w:t>zum Thema</w:t>
      </w:r>
      <w:r w:rsidR="00870CA9" w:rsidRPr="00AD2E89">
        <w:t xml:space="preserve"> </w:t>
      </w:r>
      <w:proofErr w:type="spellStart"/>
      <w:proofErr w:type="gramStart"/>
      <w:r w:rsidR="00ED3D6D" w:rsidRPr="00ED3D6D">
        <w:rPr>
          <w:rFonts w:ascii="Arial" w:hAnsi="Arial" w:cs="Arial"/>
          <w:b/>
          <w:sz w:val="24"/>
          <w:szCs w:val="24"/>
        </w:rPr>
        <w:t>BAU.weiter.BILDEN</w:t>
      </w:r>
      <w:proofErr w:type="gramEnd"/>
      <w:r w:rsidR="00ED3D6D" w:rsidRPr="00ED3D6D">
        <w:rPr>
          <w:rFonts w:ascii="Arial" w:hAnsi="Arial" w:cs="Arial"/>
          <w:b/>
          <w:sz w:val="24"/>
          <w:szCs w:val="24"/>
        </w:rPr>
        <w:t>@BW</w:t>
      </w:r>
      <w:proofErr w:type="spellEnd"/>
    </w:p>
    <w:p w14:paraId="7BB6C93B" w14:textId="30236840" w:rsidR="00AD2E89" w:rsidRPr="00AD2E89" w:rsidRDefault="00AD2E89" w:rsidP="00AD2E89">
      <w:pPr>
        <w:spacing w:after="0" w:line="276" w:lineRule="auto"/>
        <w:jc w:val="center"/>
      </w:pPr>
      <w:r>
        <w:t>-</w:t>
      </w:r>
    </w:p>
    <w:p w14:paraId="4CD18D34" w14:textId="759E5B36" w:rsidR="00AD2E89" w:rsidRDefault="00873BBF" w:rsidP="00AD2E89">
      <w:pPr>
        <w:pStyle w:val="Titel"/>
        <w:spacing w:line="276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775424">
        <w:rPr>
          <w:rFonts w:ascii="Arial" w:hAnsi="Arial" w:cs="Arial"/>
          <w:b/>
          <w:sz w:val="24"/>
          <w:szCs w:val="24"/>
        </w:rPr>
        <w:t xml:space="preserve">nnovative </w:t>
      </w:r>
      <w:r w:rsidR="00775424" w:rsidRPr="00775424">
        <w:rPr>
          <w:rFonts w:ascii="Arial" w:hAnsi="Arial" w:cs="Arial"/>
          <w:b/>
          <w:sz w:val="24"/>
          <w:szCs w:val="24"/>
        </w:rPr>
        <w:t>Weiterbildungs</w:t>
      </w:r>
      <w:r w:rsidR="003E48F3">
        <w:rPr>
          <w:rFonts w:ascii="Arial" w:hAnsi="Arial" w:cs="Arial"/>
          <w:b/>
          <w:sz w:val="24"/>
          <w:szCs w:val="24"/>
        </w:rPr>
        <w:t>formate</w:t>
      </w:r>
      <w:r w:rsidR="00775424">
        <w:rPr>
          <w:rFonts w:ascii="Arial" w:hAnsi="Arial" w:cs="Arial"/>
          <w:b/>
          <w:sz w:val="24"/>
          <w:szCs w:val="24"/>
        </w:rPr>
        <w:t xml:space="preserve"> für eine </w:t>
      </w:r>
      <w:r w:rsidR="006351BA">
        <w:rPr>
          <w:rFonts w:ascii="Arial" w:hAnsi="Arial" w:cs="Arial"/>
          <w:b/>
          <w:sz w:val="24"/>
          <w:szCs w:val="24"/>
        </w:rPr>
        <w:t>nachhaltige Bauwirtschaft</w:t>
      </w:r>
      <w:r w:rsidR="00775424" w:rsidRPr="00775424">
        <w:rPr>
          <w:rFonts w:ascii="Arial" w:hAnsi="Arial" w:cs="Arial"/>
          <w:b/>
          <w:sz w:val="24"/>
          <w:szCs w:val="24"/>
        </w:rPr>
        <w:t xml:space="preserve"> </w:t>
      </w:r>
    </w:p>
    <w:p w14:paraId="01537CEC" w14:textId="59632D66" w:rsidR="00F7279A" w:rsidRPr="00F7279A" w:rsidRDefault="00775424" w:rsidP="00AD2E89">
      <w:pPr>
        <w:pStyle w:val="Titel"/>
        <w:spacing w:line="276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775424">
        <w:rPr>
          <w:rFonts w:ascii="Arial" w:hAnsi="Arial" w:cs="Arial"/>
          <w:b/>
          <w:sz w:val="24"/>
          <w:szCs w:val="24"/>
        </w:rPr>
        <w:t xml:space="preserve"> Baden-Württemberg</w:t>
      </w:r>
    </w:p>
    <w:p w14:paraId="7AEC2380" w14:textId="77777777" w:rsidR="00F7279A" w:rsidRPr="00F7279A" w:rsidRDefault="00F7279A" w:rsidP="002353B4">
      <w:pPr>
        <w:pStyle w:val="Titel"/>
        <w:spacing w:line="276" w:lineRule="auto"/>
        <w:jc w:val="center"/>
        <w:rPr>
          <w:rStyle w:val="Kommentarzeichen"/>
          <w:rFonts w:ascii="Arial" w:hAnsi="Arial" w:cs="Arial"/>
          <w:b/>
          <w:sz w:val="24"/>
          <w:szCs w:val="24"/>
        </w:rPr>
      </w:pPr>
    </w:p>
    <w:p w14:paraId="501AE76D" w14:textId="22FD3E1E" w:rsidR="00D92029" w:rsidRDefault="00BA1130" w:rsidP="002353B4">
      <w:pPr>
        <w:pStyle w:val="Tite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4A5F">
        <w:rPr>
          <w:rFonts w:ascii="Arial" w:hAnsi="Arial" w:cs="Arial"/>
          <w:b/>
          <w:sz w:val="24"/>
          <w:szCs w:val="24"/>
        </w:rPr>
        <w:t xml:space="preserve">vom </w:t>
      </w:r>
      <w:r w:rsidR="00624BC8">
        <w:rPr>
          <w:rFonts w:ascii="Arial" w:hAnsi="Arial" w:cs="Arial"/>
          <w:b/>
          <w:sz w:val="24"/>
          <w:szCs w:val="24"/>
        </w:rPr>
        <w:t>23</w:t>
      </w:r>
      <w:r w:rsidR="00F7279A" w:rsidRPr="00384A5F">
        <w:rPr>
          <w:rFonts w:ascii="Arial" w:hAnsi="Arial" w:cs="Arial"/>
          <w:b/>
          <w:sz w:val="24"/>
          <w:szCs w:val="24"/>
        </w:rPr>
        <w:t xml:space="preserve">. </w:t>
      </w:r>
      <w:r w:rsidR="00870CA9" w:rsidRPr="00384A5F">
        <w:rPr>
          <w:rFonts w:ascii="Arial" w:hAnsi="Arial" w:cs="Arial"/>
          <w:b/>
          <w:sz w:val="24"/>
          <w:szCs w:val="24"/>
        </w:rPr>
        <w:t>Januar 2023</w:t>
      </w:r>
    </w:p>
    <w:p w14:paraId="332D24A1" w14:textId="77777777" w:rsidR="009E4086" w:rsidRDefault="009E4086" w:rsidP="009E4086"/>
    <w:p w14:paraId="65E2FAC5" w14:textId="77777777" w:rsidR="009E4086" w:rsidRPr="00B6341B" w:rsidRDefault="009E4086" w:rsidP="009E4086">
      <w:pPr>
        <w:pStyle w:val="berschrift1"/>
        <w:spacing w:before="0"/>
      </w:pPr>
      <w:r w:rsidRPr="00B6341B">
        <w:t>I</w:t>
      </w:r>
      <w:r>
        <w:t>.</w:t>
      </w:r>
      <w:r w:rsidRPr="00B6341B">
        <w:t xml:space="preserve"> Ausgangslage</w:t>
      </w:r>
    </w:p>
    <w:p w14:paraId="4FBB3FF1" w14:textId="3F484F86" w:rsidR="00666A5B" w:rsidRPr="000409F2" w:rsidRDefault="002120F6" w:rsidP="004E5EFD">
      <w:pPr>
        <w:spacing w:line="360" w:lineRule="auto"/>
      </w:pPr>
      <w:r>
        <w:t>D</w:t>
      </w:r>
      <w:r w:rsidR="00873BBF">
        <w:t>ie B</w:t>
      </w:r>
      <w:r>
        <w:t>au</w:t>
      </w:r>
      <w:r w:rsidR="00873BBF">
        <w:t>wirtschaft</w:t>
      </w:r>
      <w:r>
        <w:t xml:space="preserve"> </w:t>
      </w:r>
      <w:r w:rsidR="005C3A83">
        <w:t>spürt</w:t>
      </w:r>
      <w:r>
        <w:t xml:space="preserve"> </w:t>
      </w:r>
      <w:r w:rsidRPr="005C3A83">
        <w:t xml:space="preserve">in besonderem Ausmaß </w:t>
      </w:r>
      <w:r w:rsidR="005C3A83" w:rsidRPr="005C3A83">
        <w:t>die</w:t>
      </w:r>
      <w:r w:rsidRPr="00AD2E89">
        <w:t xml:space="preserve"> </w:t>
      </w:r>
      <w:r w:rsidR="008C1FED">
        <w:t>technologischen</w:t>
      </w:r>
      <w:r w:rsidR="00ED3D6D">
        <w:t xml:space="preserve">, </w:t>
      </w:r>
      <w:r w:rsidR="00873BBF">
        <w:t xml:space="preserve">wirtschaftlichen und </w:t>
      </w:r>
      <w:r w:rsidRPr="000409F2">
        <w:t>gesellschaftlich</w:t>
      </w:r>
      <w:r w:rsidR="005C3A83" w:rsidRPr="000409F2">
        <w:t>en Veränderungen unserer Zeit</w:t>
      </w:r>
      <w:r w:rsidRPr="000409F2">
        <w:t xml:space="preserve">. </w:t>
      </w:r>
      <w:r w:rsidR="00555168" w:rsidRPr="000409F2">
        <w:t>So fordert d</w:t>
      </w:r>
      <w:r w:rsidRPr="000409F2">
        <w:t>ie Zielsetzung der Landes</w:t>
      </w:r>
      <w:r w:rsidR="00A13F50" w:rsidRPr="000409F2">
        <w:softHyphen/>
      </w:r>
      <w:r w:rsidRPr="000409F2">
        <w:t xml:space="preserve">regierung, Baden-Württemberg bis im Jahre 2040 klimaneutral zu machen, ein fundamentales Umdenken </w:t>
      </w:r>
      <w:r w:rsidR="009C1395" w:rsidRPr="000409F2">
        <w:t>bei</w:t>
      </w:r>
      <w:r w:rsidRPr="000409F2">
        <w:t xml:space="preserve"> der Planung, Er</w:t>
      </w:r>
      <w:r w:rsidR="005C3A83" w:rsidRPr="000409F2">
        <w:t>richtung</w:t>
      </w:r>
      <w:r w:rsidR="006351BA" w:rsidRPr="000409F2">
        <w:t xml:space="preserve"> und Nutzung von Gebäuden</w:t>
      </w:r>
      <w:r w:rsidRPr="000409F2">
        <w:t xml:space="preserve">. </w:t>
      </w:r>
      <w:r w:rsidR="000A5801" w:rsidRPr="000409F2">
        <w:t>Aus diesem Grund wurde der Strategiedialog „Bezahlbares Wohnen und innovatives Bauen“ ins Leben gerufen</w:t>
      </w:r>
      <w:r w:rsidR="000C616A">
        <w:t>, mit dem Innovationsimpulse für das Planen und Bauen von morgen gesetzt werden sollen</w:t>
      </w:r>
      <w:r w:rsidR="000A5801" w:rsidRPr="000409F2">
        <w:t xml:space="preserve">. </w:t>
      </w:r>
      <w:r w:rsidRPr="000409F2">
        <w:t xml:space="preserve">Zusätzlich intensiviert </w:t>
      </w:r>
      <w:r w:rsidR="00555168" w:rsidRPr="000409F2">
        <w:t>die durch den Krieg in der Ukraine</w:t>
      </w:r>
      <w:r w:rsidRPr="000409F2">
        <w:t xml:space="preserve"> ausgelöste E</w:t>
      </w:r>
      <w:r w:rsidR="00C40D08" w:rsidRPr="000409F2">
        <w:t>nergiekrise Frage</w:t>
      </w:r>
      <w:r w:rsidR="00FB0A86" w:rsidRPr="000409F2">
        <w:t>n</w:t>
      </w:r>
      <w:r w:rsidR="00C40D08" w:rsidRPr="000409F2">
        <w:t xml:space="preserve"> zu</w:t>
      </w:r>
      <w:r w:rsidR="008D089C" w:rsidRPr="000409F2">
        <w:t>m</w:t>
      </w:r>
      <w:r w:rsidR="00C40D08" w:rsidRPr="000409F2">
        <w:t xml:space="preserve"> Energieverbrauch von Gebäuden und </w:t>
      </w:r>
      <w:r w:rsidR="00261466" w:rsidRPr="000409F2">
        <w:t xml:space="preserve">zu </w:t>
      </w:r>
      <w:r w:rsidR="00C40D08" w:rsidRPr="000409F2">
        <w:t>zukunfts</w:t>
      </w:r>
      <w:r w:rsidR="00A13F50" w:rsidRPr="000409F2">
        <w:softHyphen/>
      </w:r>
      <w:r w:rsidR="00C40D08" w:rsidRPr="000409F2">
        <w:t>fähigen</w:t>
      </w:r>
      <w:r w:rsidR="008C31AF" w:rsidRPr="000409F2">
        <w:t>, alternativen</w:t>
      </w:r>
      <w:r w:rsidR="00C40D08" w:rsidRPr="000409F2">
        <w:t xml:space="preserve"> Energiequellen</w:t>
      </w:r>
      <w:r w:rsidRPr="000409F2">
        <w:t xml:space="preserve">. </w:t>
      </w:r>
      <w:r w:rsidR="00C40D08" w:rsidRPr="000409F2">
        <w:t>Auch weist d</w:t>
      </w:r>
      <w:r w:rsidR="00873BBF" w:rsidRPr="000409F2">
        <w:t>i</w:t>
      </w:r>
      <w:r w:rsidR="00C40D08" w:rsidRPr="000409F2">
        <w:t>e Bau</w:t>
      </w:r>
      <w:r w:rsidR="00873BBF" w:rsidRPr="000409F2">
        <w:t>wirtschaft</w:t>
      </w:r>
      <w:r w:rsidR="00C40D08" w:rsidRPr="000409F2">
        <w:t xml:space="preserve"> einen hohen Bedarf an Rohstoffen auf. </w:t>
      </w:r>
      <w:r w:rsidR="006351BA" w:rsidRPr="000409F2">
        <w:t xml:space="preserve">Die Knappheit nicht erneuerbarer Rohstoffe, </w:t>
      </w:r>
      <w:r w:rsidR="00C40D08" w:rsidRPr="000409F2">
        <w:t xml:space="preserve">fragwürdige </w:t>
      </w:r>
      <w:r w:rsidRPr="000409F2">
        <w:t>Abbau</w:t>
      </w:r>
      <w:r w:rsidR="00A13F50" w:rsidRPr="000409F2">
        <w:softHyphen/>
      </w:r>
      <w:r w:rsidRPr="000409F2">
        <w:t xml:space="preserve">bedingungen in den Herkunftsländern und </w:t>
      </w:r>
      <w:r w:rsidR="00C40D08" w:rsidRPr="000409F2">
        <w:t>Lieferengpässe</w:t>
      </w:r>
      <w:r w:rsidRPr="000409F2">
        <w:t xml:space="preserve"> </w:t>
      </w:r>
      <w:r w:rsidR="008D089C" w:rsidRPr="000409F2">
        <w:t>führen zu Forderungen</w:t>
      </w:r>
      <w:r w:rsidRPr="000409F2">
        <w:t xml:space="preserve"> nach einer ressourcenschonenden, umweltfre</w:t>
      </w:r>
      <w:r w:rsidR="00C40D08" w:rsidRPr="000409F2">
        <w:t>undlichen Nutzung im Sinne der Kreislauf</w:t>
      </w:r>
      <w:r w:rsidR="00A13F50" w:rsidRPr="000409F2">
        <w:softHyphen/>
      </w:r>
      <w:r w:rsidR="00C40D08" w:rsidRPr="000409F2">
        <w:t>wirtschaft</w:t>
      </w:r>
      <w:r w:rsidR="008D089C" w:rsidRPr="000409F2">
        <w:t>. Zu</w:t>
      </w:r>
      <w:r w:rsidRPr="000409F2">
        <w:t xml:space="preserve">gleich </w:t>
      </w:r>
      <w:r w:rsidR="00C40D08" w:rsidRPr="000409F2">
        <w:t xml:space="preserve">schaffen Prozesse der Digitalisierung, </w:t>
      </w:r>
      <w:r w:rsidRPr="000409F2">
        <w:t>innova</w:t>
      </w:r>
      <w:r w:rsidRPr="000409F2">
        <w:lastRenderedPageBreak/>
        <w:t xml:space="preserve">tive Konzepte </w:t>
      </w:r>
      <w:r w:rsidR="00C40D08" w:rsidRPr="000409F2">
        <w:t xml:space="preserve">und technologische Entwicklungen Raum </w:t>
      </w:r>
      <w:r w:rsidRPr="000409F2">
        <w:t xml:space="preserve">für </w:t>
      </w:r>
      <w:r w:rsidR="008D54E2" w:rsidRPr="000409F2">
        <w:t xml:space="preserve">eine </w:t>
      </w:r>
      <w:r w:rsidR="00F445D0" w:rsidRPr="000409F2">
        <w:t xml:space="preserve">fundamentale Veränderung </w:t>
      </w:r>
      <w:r w:rsidR="00C40D08" w:rsidRPr="000409F2">
        <w:t xml:space="preserve">der Art zu Bauen – von </w:t>
      </w:r>
      <w:r w:rsidR="00ED3D6D" w:rsidRPr="000409F2">
        <w:t xml:space="preserve">der </w:t>
      </w:r>
      <w:r w:rsidR="00C40D08" w:rsidRPr="000409F2">
        <w:t>Planung</w:t>
      </w:r>
      <w:r w:rsidR="00ED3D6D" w:rsidRPr="000409F2">
        <w:t xml:space="preserve"> über den Neubau</w:t>
      </w:r>
      <w:r w:rsidR="008B44D3">
        <w:t>,</w:t>
      </w:r>
      <w:r w:rsidR="00ED3D6D" w:rsidRPr="000409F2">
        <w:t xml:space="preserve"> das Bauen im Bestand</w:t>
      </w:r>
      <w:r w:rsidR="00C40D08" w:rsidRPr="000409F2">
        <w:t xml:space="preserve"> bis</w:t>
      </w:r>
      <w:r w:rsidR="008B44D3">
        <w:t xml:space="preserve"> zum</w:t>
      </w:r>
      <w:r w:rsidR="00C40D08" w:rsidRPr="000409F2">
        <w:t xml:space="preserve"> Rückbau</w:t>
      </w:r>
      <w:r w:rsidR="008D54E2" w:rsidRPr="000409F2">
        <w:t>.</w:t>
      </w:r>
    </w:p>
    <w:p w14:paraId="5D90DB5D" w14:textId="36F7881F" w:rsidR="008618D4" w:rsidRPr="000409F2" w:rsidRDefault="00666A5B" w:rsidP="004E5EFD">
      <w:pPr>
        <w:spacing w:line="360" w:lineRule="auto"/>
      </w:pPr>
      <w:r w:rsidRPr="000409F2">
        <w:t>Für eine erfolgreiche Transformation der Bau</w:t>
      </w:r>
      <w:r w:rsidR="00873BBF" w:rsidRPr="000409F2">
        <w:t>wirtschaft</w:t>
      </w:r>
      <w:r w:rsidRPr="000409F2">
        <w:t xml:space="preserve"> sind </w:t>
      </w:r>
      <w:r w:rsidR="008B44D3">
        <w:t xml:space="preserve">entsprechend </w:t>
      </w:r>
      <w:r w:rsidR="004E5EFD" w:rsidRPr="000409F2">
        <w:t>qualifizierte</w:t>
      </w:r>
      <w:r w:rsidRPr="000409F2">
        <w:t xml:space="preserve"> Beschäftigte</w:t>
      </w:r>
      <w:r w:rsidR="00261466" w:rsidRPr="000409F2">
        <w:t xml:space="preserve"> </w:t>
      </w:r>
      <w:r w:rsidRPr="000409F2">
        <w:t xml:space="preserve">unabdingbar. </w:t>
      </w:r>
      <w:r w:rsidR="00261466" w:rsidRPr="000409F2">
        <w:t>B</w:t>
      </w:r>
      <w:r w:rsidRPr="000409F2">
        <w:t>erufliche Weiterbildung ist hier</w:t>
      </w:r>
      <w:r w:rsidR="00261466" w:rsidRPr="000409F2">
        <w:t>für ein wichtiger Schlüssel.</w:t>
      </w:r>
      <w:r w:rsidRPr="000409F2">
        <w:t xml:space="preserve"> </w:t>
      </w:r>
      <w:r w:rsidR="003E48F3" w:rsidRPr="000409F2">
        <w:t>Daher ist es wichtig, das Weiterbildungsangebot stetig weiterzuentwickeln und es an die sich ändernden Rahmenbedingungen anzupassen.</w:t>
      </w:r>
      <w:r w:rsidR="00873BBF" w:rsidRPr="000409F2">
        <w:t xml:space="preserve"> </w:t>
      </w:r>
      <w:r w:rsidR="003E48F3" w:rsidRPr="000409F2">
        <w:t>Ziel dieses Aufrufs ist die</w:t>
      </w:r>
      <w:r w:rsidR="004E5EFD" w:rsidRPr="000409F2">
        <w:t xml:space="preserve"> E</w:t>
      </w:r>
      <w:r w:rsidR="00261466" w:rsidRPr="000409F2">
        <w:t>ntwicklung und Erprobung</w:t>
      </w:r>
      <w:r w:rsidR="004E5EFD" w:rsidRPr="000409F2">
        <w:t xml:space="preserve"> </w:t>
      </w:r>
      <w:r w:rsidR="00261466" w:rsidRPr="000409F2">
        <w:t xml:space="preserve">hochqualitativer </w:t>
      </w:r>
      <w:r w:rsidR="004E5EFD" w:rsidRPr="000409F2">
        <w:t>Weiterbildungsformate</w:t>
      </w:r>
      <w:r w:rsidR="00016A2C" w:rsidRPr="000409F2">
        <w:t xml:space="preserve"> zu Themen der Transformation der Bauwirtschaft</w:t>
      </w:r>
      <w:r w:rsidR="003E48F3" w:rsidRPr="000409F2">
        <w:t xml:space="preserve">. Damit </w:t>
      </w:r>
      <w:r w:rsidR="004E5EFD" w:rsidRPr="000409F2">
        <w:t>soll</w:t>
      </w:r>
      <w:r w:rsidR="003E48F3" w:rsidRPr="000409F2">
        <w:t xml:space="preserve"> auch</w:t>
      </w:r>
      <w:r w:rsidR="004E5EFD" w:rsidRPr="000409F2">
        <w:t xml:space="preserve"> ein</w:t>
      </w:r>
      <w:r w:rsidR="006351BA" w:rsidRPr="000409F2">
        <w:t xml:space="preserve"> </w:t>
      </w:r>
      <w:r w:rsidR="005235F8" w:rsidRPr="000409F2">
        <w:t>Beitrag</w:t>
      </w:r>
      <w:r w:rsidR="006351BA" w:rsidRPr="000409F2">
        <w:t xml:space="preserve"> </w:t>
      </w:r>
      <w:r w:rsidR="00016A2C" w:rsidRPr="000409F2">
        <w:t>zu den im Koalitions</w:t>
      </w:r>
      <w:r w:rsidR="00A13F50" w:rsidRPr="000409F2">
        <w:softHyphen/>
      </w:r>
      <w:r w:rsidR="00016A2C" w:rsidRPr="000409F2">
        <w:t>v</w:t>
      </w:r>
      <w:r w:rsidR="004E5EFD" w:rsidRPr="000409F2">
        <w:t>ertrag</w:t>
      </w:r>
      <w:r w:rsidR="005235F8" w:rsidRPr="000409F2">
        <w:t xml:space="preserve"> der Landesregierung</w:t>
      </w:r>
      <w:r w:rsidR="004E5EFD" w:rsidRPr="000409F2">
        <w:t xml:space="preserve"> aufgezeigten Ziele</w:t>
      </w:r>
      <w:r w:rsidR="00016A2C" w:rsidRPr="000409F2">
        <w:t>n</w:t>
      </w:r>
      <w:r w:rsidR="004E5EFD" w:rsidRPr="000409F2">
        <w:t xml:space="preserve"> der Nachhaltigkeit </w:t>
      </w:r>
      <w:r w:rsidR="003E48F3" w:rsidRPr="000409F2">
        <w:t>ge</w:t>
      </w:r>
      <w:r w:rsidR="005235F8" w:rsidRPr="000409F2">
        <w:t>leiste</w:t>
      </w:r>
      <w:r w:rsidR="003E48F3" w:rsidRPr="000409F2">
        <w:t>t werden</w:t>
      </w:r>
      <w:r w:rsidR="00261466" w:rsidRPr="000409F2">
        <w:t>.</w:t>
      </w:r>
    </w:p>
    <w:p w14:paraId="193C5E52" w14:textId="77777777" w:rsidR="004E5EFD" w:rsidRPr="000409F2" w:rsidRDefault="008618D4" w:rsidP="008618D4">
      <w:pPr>
        <w:spacing w:after="0" w:line="360" w:lineRule="auto"/>
      </w:pPr>
      <w:r w:rsidRPr="000409F2">
        <w:t xml:space="preserve">Vor diesem Hintergrund startet das Ministerium für Wirtschaft, Arbeit und Tourismus einen Förderaufruf mit dem folgenden Schwerpunkt: </w:t>
      </w:r>
    </w:p>
    <w:p w14:paraId="3BFB39F8" w14:textId="77777777" w:rsidR="00506AFB" w:rsidRPr="000409F2" w:rsidRDefault="00506AFB">
      <w:pPr>
        <w:rPr>
          <w:rFonts w:eastAsiaTheme="majorEastAsia" w:cstheme="majorBidi"/>
          <w:b/>
          <w:szCs w:val="32"/>
          <w:u w:val="single"/>
        </w:rPr>
      </w:pPr>
    </w:p>
    <w:p w14:paraId="2FEBB231" w14:textId="77777777" w:rsidR="009E4086" w:rsidRPr="000409F2" w:rsidRDefault="009E4086" w:rsidP="009E4086">
      <w:pPr>
        <w:pStyle w:val="berschrift1"/>
        <w:spacing w:before="0"/>
        <w:rPr>
          <w:b w:val="0"/>
        </w:rPr>
      </w:pPr>
      <w:r w:rsidRPr="000409F2">
        <w:t>II. Gegenstand der Förderung</w:t>
      </w:r>
    </w:p>
    <w:p w14:paraId="001FC624" w14:textId="3697A2DC" w:rsidR="00F93C78" w:rsidRDefault="009E4086" w:rsidP="004D4C92">
      <w:pPr>
        <w:spacing w:line="360" w:lineRule="auto"/>
        <w:rPr>
          <w:bCs/>
          <w:color w:val="000000" w:themeColor="text1"/>
        </w:rPr>
      </w:pPr>
      <w:r w:rsidRPr="000409F2">
        <w:rPr>
          <w:bCs/>
          <w:color w:val="000000" w:themeColor="text1"/>
        </w:rPr>
        <w:t xml:space="preserve">Gefördert werden Projekte zur Entwicklung und Erprobung von </w:t>
      </w:r>
      <w:r w:rsidR="005235F8" w:rsidRPr="000409F2">
        <w:rPr>
          <w:bCs/>
          <w:color w:val="000000" w:themeColor="text1"/>
        </w:rPr>
        <w:t>Konzepten und Maßnahmen der Weiterbildung</w:t>
      </w:r>
      <w:r w:rsidRPr="000409F2">
        <w:rPr>
          <w:bCs/>
          <w:color w:val="000000" w:themeColor="text1"/>
        </w:rPr>
        <w:t xml:space="preserve">, die das Angebot an beruflichen Weiterbildungen in Baden-Württemberg </w:t>
      </w:r>
      <w:r w:rsidR="005235F8" w:rsidRPr="000409F2">
        <w:rPr>
          <w:bCs/>
          <w:color w:val="000000" w:themeColor="text1"/>
        </w:rPr>
        <w:t xml:space="preserve">für </w:t>
      </w:r>
      <w:r w:rsidR="00ED3D6D" w:rsidRPr="000409F2">
        <w:rPr>
          <w:bCs/>
          <w:color w:val="000000" w:themeColor="text1"/>
        </w:rPr>
        <w:t>die</w:t>
      </w:r>
      <w:r w:rsidR="005235F8" w:rsidRPr="000409F2">
        <w:rPr>
          <w:bCs/>
          <w:color w:val="000000" w:themeColor="text1"/>
        </w:rPr>
        <w:t xml:space="preserve"> Bauwirtschaft</w:t>
      </w:r>
      <w:r w:rsidRPr="000409F2">
        <w:rPr>
          <w:bCs/>
          <w:color w:val="000000" w:themeColor="text1"/>
        </w:rPr>
        <w:t xml:space="preserve"> erweitern. Ziel der Förderung ist es, in diesem Bereich mit innovativen Formaten das bestehende Weiterbildungs</w:t>
      </w:r>
      <w:r w:rsidR="00A13F50" w:rsidRPr="000409F2">
        <w:rPr>
          <w:bCs/>
          <w:color w:val="000000" w:themeColor="text1"/>
        </w:rPr>
        <w:softHyphen/>
      </w:r>
      <w:r w:rsidRPr="000409F2">
        <w:rPr>
          <w:bCs/>
          <w:color w:val="000000" w:themeColor="text1"/>
        </w:rPr>
        <w:t>angebot zu erweitern, zu ver</w:t>
      </w:r>
      <w:r w:rsidR="005235F8" w:rsidRPr="000409F2">
        <w:rPr>
          <w:bCs/>
          <w:color w:val="000000" w:themeColor="text1"/>
        </w:rPr>
        <w:t>tiefen und Lücken zu schließen</w:t>
      </w:r>
      <w:r w:rsidR="00261466" w:rsidRPr="000409F2">
        <w:rPr>
          <w:bCs/>
          <w:color w:val="000000" w:themeColor="text1"/>
        </w:rPr>
        <w:t>.</w:t>
      </w:r>
      <w:r w:rsidR="004D4C92" w:rsidRPr="000409F2">
        <w:rPr>
          <w:bCs/>
          <w:color w:val="000000" w:themeColor="text1"/>
        </w:rPr>
        <w:t xml:space="preserve"> </w:t>
      </w:r>
      <w:r w:rsidR="00261466" w:rsidRPr="000409F2">
        <w:rPr>
          <w:bCs/>
          <w:color w:val="000000" w:themeColor="text1"/>
        </w:rPr>
        <w:t xml:space="preserve">Die Antragsteller sind in der </w:t>
      </w:r>
      <w:r w:rsidR="009961A2" w:rsidRPr="000409F2">
        <w:rPr>
          <w:bCs/>
          <w:color w:val="000000" w:themeColor="text1"/>
        </w:rPr>
        <w:t>inhaltlichen und methodisch-didaktischen Gestaltung</w:t>
      </w:r>
      <w:r w:rsidR="00ED3D6D" w:rsidRPr="000409F2">
        <w:rPr>
          <w:bCs/>
          <w:color w:val="000000" w:themeColor="text1"/>
        </w:rPr>
        <w:t xml:space="preserve"> ihrer Maßnahmen</w:t>
      </w:r>
      <w:r w:rsidR="009961A2" w:rsidRPr="000409F2">
        <w:rPr>
          <w:bCs/>
          <w:color w:val="000000" w:themeColor="text1"/>
        </w:rPr>
        <w:t xml:space="preserve"> </w:t>
      </w:r>
      <w:r w:rsidR="009961A2" w:rsidRPr="000C616A">
        <w:rPr>
          <w:bCs/>
          <w:color w:val="000000" w:themeColor="text1"/>
        </w:rPr>
        <w:t>frei</w:t>
      </w:r>
      <w:r w:rsidR="00261466" w:rsidRPr="000C616A">
        <w:rPr>
          <w:bCs/>
          <w:color w:val="000000" w:themeColor="text1"/>
        </w:rPr>
        <w:t xml:space="preserve">. </w:t>
      </w:r>
      <w:r w:rsidR="00FB17B8" w:rsidRPr="000C616A">
        <w:rPr>
          <w:bCs/>
          <w:color w:val="000000" w:themeColor="text1"/>
        </w:rPr>
        <w:t>Be</w:t>
      </w:r>
      <w:r w:rsidR="00261466" w:rsidRPr="000C616A">
        <w:rPr>
          <w:bCs/>
          <w:color w:val="000000" w:themeColor="text1"/>
        </w:rPr>
        <w:t>ispielhafte Themen könn</w:t>
      </w:r>
      <w:r w:rsidR="0075400B" w:rsidRPr="000C616A">
        <w:rPr>
          <w:bCs/>
          <w:color w:val="000000" w:themeColor="text1"/>
        </w:rPr>
        <w:t>t</w:t>
      </w:r>
      <w:r w:rsidR="00261466" w:rsidRPr="000C616A">
        <w:rPr>
          <w:bCs/>
          <w:color w:val="000000" w:themeColor="text1"/>
        </w:rPr>
        <w:t>en</w:t>
      </w:r>
      <w:r w:rsidR="00FB17B8" w:rsidRPr="000C616A">
        <w:rPr>
          <w:bCs/>
          <w:color w:val="000000" w:themeColor="text1"/>
        </w:rPr>
        <w:t xml:space="preserve"> </w:t>
      </w:r>
      <w:r w:rsidR="0075400B" w:rsidRPr="000C616A">
        <w:rPr>
          <w:bCs/>
          <w:color w:val="000000" w:themeColor="text1"/>
        </w:rPr>
        <w:t>die</w:t>
      </w:r>
      <w:r w:rsidR="00FB17B8" w:rsidRPr="000C616A">
        <w:rPr>
          <w:bCs/>
          <w:color w:val="000000" w:themeColor="text1"/>
        </w:rPr>
        <w:t xml:space="preserve"> Digitalisierung in der </w:t>
      </w:r>
      <w:r w:rsidR="00FB17B8" w:rsidRPr="000C616A">
        <w:rPr>
          <w:bCs/>
        </w:rPr>
        <w:t>Bauwirtschaft</w:t>
      </w:r>
      <w:r w:rsidR="00A56199" w:rsidRPr="000C616A">
        <w:rPr>
          <w:bCs/>
        </w:rPr>
        <w:t xml:space="preserve">, z.B. durch Nutzung </w:t>
      </w:r>
      <w:r w:rsidR="000C616A" w:rsidRPr="000C616A">
        <w:rPr>
          <w:bCs/>
        </w:rPr>
        <w:t>des Building Information Modeling (BIM) und den Einsatz Digitaler Zwillinge</w:t>
      </w:r>
      <w:r w:rsidR="00A56199" w:rsidRPr="000C616A">
        <w:rPr>
          <w:bCs/>
        </w:rPr>
        <w:t>,</w:t>
      </w:r>
      <w:r w:rsidR="00FB17B8" w:rsidRPr="000C616A">
        <w:rPr>
          <w:bCs/>
        </w:rPr>
        <w:t xml:space="preserve"> </w:t>
      </w:r>
      <w:r w:rsidR="0075400B" w:rsidRPr="000C616A">
        <w:rPr>
          <w:bCs/>
        </w:rPr>
        <w:t xml:space="preserve">oder </w:t>
      </w:r>
      <w:r w:rsidR="00FB17B8" w:rsidRPr="000C616A">
        <w:rPr>
          <w:bCs/>
        </w:rPr>
        <w:t>ökologische</w:t>
      </w:r>
      <w:r w:rsidR="0075400B" w:rsidRPr="000C616A">
        <w:rPr>
          <w:bCs/>
        </w:rPr>
        <w:t>s</w:t>
      </w:r>
      <w:r w:rsidR="00FB17B8" w:rsidRPr="000C616A">
        <w:rPr>
          <w:bCs/>
        </w:rPr>
        <w:t xml:space="preserve"> </w:t>
      </w:r>
      <w:r w:rsidR="0075400B" w:rsidRPr="000C616A">
        <w:rPr>
          <w:bCs/>
        </w:rPr>
        <w:t xml:space="preserve">und </w:t>
      </w:r>
      <w:r w:rsidR="00FB17B8" w:rsidRPr="000C616A">
        <w:rPr>
          <w:bCs/>
        </w:rPr>
        <w:t>nachhaltige</w:t>
      </w:r>
      <w:r w:rsidR="0075400B" w:rsidRPr="000C616A">
        <w:rPr>
          <w:bCs/>
        </w:rPr>
        <w:t>s</w:t>
      </w:r>
      <w:r w:rsidR="00FB17B8" w:rsidRPr="000C616A">
        <w:rPr>
          <w:bCs/>
        </w:rPr>
        <w:t xml:space="preserve"> Bauen, beispielsweise in Hinblick auf Materialeinsatz und Energieeffizienz, </w:t>
      </w:r>
      <w:r w:rsidR="003E48F3" w:rsidRPr="000C616A">
        <w:rPr>
          <w:bCs/>
        </w:rPr>
        <w:t xml:space="preserve">sein. </w:t>
      </w:r>
      <w:r w:rsidR="00F93C78" w:rsidRPr="000C616A">
        <w:rPr>
          <w:bCs/>
          <w:color w:val="000000" w:themeColor="text1"/>
        </w:rPr>
        <w:t xml:space="preserve">Die </w:t>
      </w:r>
      <w:r w:rsidR="003E48F3" w:rsidRPr="000C616A">
        <w:rPr>
          <w:bCs/>
          <w:color w:val="000000" w:themeColor="text1"/>
        </w:rPr>
        <w:t>entwickelten und erprobten Weiterbildu</w:t>
      </w:r>
      <w:r w:rsidR="003E48F3" w:rsidRPr="000409F2">
        <w:rPr>
          <w:bCs/>
          <w:color w:val="000000" w:themeColor="text1"/>
        </w:rPr>
        <w:t>ngs</w:t>
      </w:r>
      <w:r w:rsidR="009961A2" w:rsidRPr="000409F2">
        <w:rPr>
          <w:bCs/>
          <w:color w:val="000000" w:themeColor="text1"/>
        </w:rPr>
        <w:t>formate</w:t>
      </w:r>
      <w:r w:rsidR="00F93C78" w:rsidRPr="000409F2">
        <w:rPr>
          <w:bCs/>
          <w:color w:val="000000" w:themeColor="text1"/>
        </w:rPr>
        <w:t xml:space="preserve"> werden nach Projektende öffentlich zugänglich gemacht, um la</w:t>
      </w:r>
      <w:r w:rsidR="00F93C78" w:rsidRPr="002E3764">
        <w:rPr>
          <w:bCs/>
          <w:color w:val="000000" w:themeColor="text1"/>
        </w:rPr>
        <w:t xml:space="preserve">ndesweit </w:t>
      </w:r>
      <w:r w:rsidR="00ED3D6D">
        <w:rPr>
          <w:bCs/>
          <w:color w:val="000000" w:themeColor="text1"/>
        </w:rPr>
        <w:t>die</w:t>
      </w:r>
      <w:r w:rsidR="00F93C78">
        <w:rPr>
          <w:bCs/>
          <w:color w:val="000000" w:themeColor="text1"/>
        </w:rPr>
        <w:t xml:space="preserve"> Qualifizierung </w:t>
      </w:r>
      <w:r w:rsidR="00ED3D6D">
        <w:rPr>
          <w:bCs/>
          <w:color w:val="000000" w:themeColor="text1"/>
        </w:rPr>
        <w:t xml:space="preserve">in diesem Bereich </w:t>
      </w:r>
      <w:r w:rsidR="00F93C78">
        <w:rPr>
          <w:bCs/>
          <w:color w:val="000000" w:themeColor="text1"/>
        </w:rPr>
        <w:t>voranzutreiben</w:t>
      </w:r>
      <w:r w:rsidR="00F93C78" w:rsidRPr="002E3764">
        <w:rPr>
          <w:bCs/>
          <w:color w:val="000000" w:themeColor="text1"/>
        </w:rPr>
        <w:t xml:space="preserve">. </w:t>
      </w:r>
    </w:p>
    <w:p w14:paraId="4002C9FF" w14:textId="5AA59E78" w:rsidR="009E4086" w:rsidRPr="0067551E" w:rsidRDefault="005235F8" w:rsidP="0067551E">
      <w:pPr>
        <w:spacing w:line="360" w:lineRule="auto"/>
        <w:rPr>
          <w:bCs/>
          <w:color w:val="222A35" w:themeColor="text2" w:themeShade="80"/>
        </w:rPr>
      </w:pPr>
      <w:r w:rsidRPr="00A06FCA">
        <w:rPr>
          <w:bCs/>
          <w:color w:val="000000" w:themeColor="text1"/>
        </w:rPr>
        <w:t xml:space="preserve">Zielgruppe der zu entwickelnden Weiterbildungskonzepte </w:t>
      </w:r>
      <w:r w:rsidRPr="00FB17B8">
        <w:rPr>
          <w:bCs/>
        </w:rPr>
        <w:t xml:space="preserve">sollen </w:t>
      </w:r>
      <w:r w:rsidR="00A06FCA">
        <w:rPr>
          <w:bCs/>
        </w:rPr>
        <w:t xml:space="preserve">Beschäftigte </w:t>
      </w:r>
      <w:r w:rsidR="00F93C78" w:rsidRPr="00A56199">
        <w:t>aus kleinen und mittleren Unternehmen (KMU)</w:t>
      </w:r>
      <w:r w:rsidR="00A06FCA" w:rsidRPr="00A56199">
        <w:t xml:space="preserve"> sein</w:t>
      </w:r>
      <w:r w:rsidR="009961A2">
        <w:t>. Wünschenswert ist auch die Einreichung von</w:t>
      </w:r>
      <w:r w:rsidR="00A06FCA" w:rsidRPr="00A56199">
        <w:t xml:space="preserve"> Konzepte</w:t>
      </w:r>
      <w:r w:rsidR="009961A2">
        <w:t>n,</w:t>
      </w:r>
      <w:r w:rsidR="00A06FCA" w:rsidRPr="00A56199">
        <w:t xml:space="preserve"> </w:t>
      </w:r>
      <w:r w:rsidR="00F93C78" w:rsidRPr="00A56199">
        <w:t>die</w:t>
      </w:r>
      <w:r w:rsidR="00A06FCA" w:rsidRPr="00A56199">
        <w:t xml:space="preserve"> </w:t>
      </w:r>
      <w:r w:rsidR="009961A2">
        <w:t xml:space="preserve">eher </w:t>
      </w:r>
      <w:r w:rsidR="00FB17B8" w:rsidRPr="00A56199">
        <w:t>weiterbildung</w:t>
      </w:r>
      <w:r w:rsidR="009961A2">
        <w:t>sferne</w:t>
      </w:r>
      <w:r w:rsidR="00BB3E4F">
        <w:t xml:space="preserve"> Beschäftigte </w:t>
      </w:r>
      <w:r w:rsidR="00506AFB" w:rsidRPr="00A56199">
        <w:t>der Branche</w:t>
      </w:r>
      <w:r w:rsidR="00F93C78" w:rsidRPr="00A56199">
        <w:t xml:space="preserve"> </w:t>
      </w:r>
      <w:r w:rsidR="00BB3E4F">
        <w:t>berücksichtigen</w:t>
      </w:r>
      <w:r w:rsidR="00F93C78" w:rsidRPr="00A56199">
        <w:t>. D</w:t>
      </w:r>
      <w:r w:rsidR="00506AFB" w:rsidRPr="00A56199">
        <w:t>azu können</w:t>
      </w:r>
      <w:r w:rsidR="00BB3E4F">
        <w:t xml:space="preserve"> z.B.</w:t>
      </w:r>
      <w:r w:rsidR="00506AFB" w:rsidRPr="00A56199">
        <w:t xml:space="preserve"> ältere Erwerbstätige</w:t>
      </w:r>
      <w:r w:rsidR="00BB3E4F">
        <w:t xml:space="preserve"> </w:t>
      </w:r>
      <w:r w:rsidR="00506AFB" w:rsidRPr="00A56199">
        <w:t xml:space="preserve">und </w:t>
      </w:r>
      <w:r w:rsidR="00BB3E4F">
        <w:t>Beschäftigte</w:t>
      </w:r>
      <w:r w:rsidR="00506AFB" w:rsidRPr="00A56199">
        <w:t xml:space="preserve"> mit ger</w:t>
      </w:r>
      <w:r w:rsidR="00A13F50">
        <w:t>ingen formalen Qualifikationen oder</w:t>
      </w:r>
      <w:r w:rsidR="00506AFB" w:rsidRPr="00A56199">
        <w:t xml:space="preserve"> Sprachbarrieren gehören</w:t>
      </w:r>
      <w:r w:rsidR="00F93C78" w:rsidRPr="00A56199">
        <w:t>.</w:t>
      </w:r>
    </w:p>
    <w:p w14:paraId="460C0FDB" w14:textId="77777777" w:rsidR="009E4086" w:rsidRPr="00D92029" w:rsidRDefault="009E4086" w:rsidP="009E4086">
      <w:pPr>
        <w:pStyle w:val="berschrift1"/>
        <w:spacing w:before="0"/>
      </w:pPr>
      <w:r>
        <w:lastRenderedPageBreak/>
        <w:t>III</w:t>
      </w:r>
      <w:r w:rsidRPr="00593D7C">
        <w:t>. Antragsberechtigung</w:t>
      </w:r>
    </w:p>
    <w:p w14:paraId="57C924B1" w14:textId="77777777" w:rsidR="009E4086" w:rsidRDefault="009E4086" w:rsidP="009E4086">
      <w:pPr>
        <w:spacing w:after="0" w:line="360" w:lineRule="auto"/>
        <w:rPr>
          <w:bCs/>
        </w:rPr>
      </w:pPr>
      <w:r w:rsidRPr="00593D7C">
        <w:rPr>
          <w:bCs/>
        </w:rPr>
        <w:t xml:space="preserve">Antragsberechtigt sind: </w:t>
      </w:r>
    </w:p>
    <w:p w14:paraId="5A9175DD" w14:textId="77777777" w:rsidR="009E4086" w:rsidRDefault="009E4086" w:rsidP="009E4086">
      <w:pPr>
        <w:pStyle w:val="Listenabsatz"/>
        <w:numPr>
          <w:ilvl w:val="0"/>
          <w:numId w:val="4"/>
        </w:numPr>
        <w:spacing w:line="360" w:lineRule="auto"/>
        <w:rPr>
          <w:bCs/>
        </w:rPr>
      </w:pPr>
      <w:r w:rsidRPr="006A3BF3">
        <w:rPr>
          <w:bCs/>
        </w:rPr>
        <w:t>Berufliche Bildungsträger</w:t>
      </w:r>
    </w:p>
    <w:p w14:paraId="196377C7" w14:textId="77777777" w:rsidR="009E4086" w:rsidRPr="00E75718" w:rsidRDefault="009E4086" w:rsidP="009E4086">
      <w:pPr>
        <w:pStyle w:val="Listenabsatz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Organisationen und Selbsthilfeeinrichtungen der Wirtschaft</w:t>
      </w:r>
    </w:p>
    <w:p w14:paraId="17F6D4A1" w14:textId="50A239E6" w:rsidR="009E4086" w:rsidRPr="0010739B" w:rsidRDefault="009E4086" w:rsidP="009E4086">
      <w:pPr>
        <w:spacing w:after="0" w:line="360" w:lineRule="auto"/>
        <w:rPr>
          <w:bCs/>
        </w:rPr>
      </w:pPr>
      <w:r w:rsidRPr="0010739B">
        <w:rPr>
          <w:bCs/>
        </w:rPr>
        <w:t>Im Sinne dieses Förderaufrufs werden letzteren insbesondere zugerechnet: Kammern, Wirtschafts- und Berufsverbände, Vereine, Gewerkschaften, Wirtschafts</w:t>
      </w:r>
      <w:r w:rsidR="00A13F50">
        <w:rPr>
          <w:bCs/>
        </w:rPr>
        <w:softHyphen/>
      </w:r>
      <w:r w:rsidRPr="0010739B">
        <w:rPr>
          <w:bCs/>
        </w:rPr>
        <w:t>fördereinrichtungen, wirtschaftsnahe Forschungs- und Wissenstransfer</w:t>
      </w:r>
      <w:r w:rsidR="00A13F50">
        <w:rPr>
          <w:bCs/>
        </w:rPr>
        <w:softHyphen/>
      </w:r>
      <w:r w:rsidRPr="0010739B">
        <w:rPr>
          <w:bCs/>
        </w:rPr>
        <w:t>einrichtungen.</w:t>
      </w:r>
    </w:p>
    <w:p w14:paraId="7347D4F7" w14:textId="77777777" w:rsidR="009E4086" w:rsidRPr="0010739B" w:rsidRDefault="009E4086" w:rsidP="009E4086">
      <w:pPr>
        <w:spacing w:after="0" w:line="360" w:lineRule="auto"/>
        <w:rPr>
          <w:bCs/>
        </w:rPr>
      </w:pPr>
    </w:p>
    <w:p w14:paraId="25C1F594" w14:textId="13AE4AF6" w:rsidR="009E4086" w:rsidRPr="0010739B" w:rsidRDefault="009E4086" w:rsidP="009E4086">
      <w:pPr>
        <w:spacing w:after="0" w:line="360" w:lineRule="auto"/>
        <w:rPr>
          <w:bCs/>
        </w:rPr>
      </w:pPr>
      <w:r w:rsidRPr="0010739B">
        <w:rPr>
          <w:bCs/>
        </w:rPr>
        <w:t>Hochschulen, Einrichtungen der Grundlagenforschung und Weiterbildungssoftware-Anbieter gehören nicht zum Kreis der Antragsberechtigten, können aber auf privat</w:t>
      </w:r>
      <w:r w:rsidR="00A13F50">
        <w:rPr>
          <w:bCs/>
        </w:rPr>
        <w:softHyphen/>
      </w:r>
      <w:r w:rsidRPr="0010739B">
        <w:rPr>
          <w:bCs/>
        </w:rPr>
        <w:t xml:space="preserve">rechtlicher Grundlage im Rahmen eines Verbundprojektes als Projektpartner oder im Wege eines Unterauftrags in das jeweilige Projekt eingebunden werden. In einem Verbundprojekt übernimmt eine </w:t>
      </w:r>
      <w:proofErr w:type="spellStart"/>
      <w:r>
        <w:rPr>
          <w:bCs/>
        </w:rPr>
        <w:t>a</w:t>
      </w:r>
      <w:r w:rsidRPr="0010739B">
        <w:rPr>
          <w:bCs/>
        </w:rPr>
        <w:t>ntrag</w:t>
      </w:r>
      <w:r>
        <w:rPr>
          <w:bCs/>
        </w:rPr>
        <w:t>s</w:t>
      </w:r>
      <w:r w:rsidRPr="0010739B">
        <w:rPr>
          <w:bCs/>
        </w:rPr>
        <w:t>berechtigte</w:t>
      </w:r>
      <w:proofErr w:type="spellEnd"/>
      <w:r w:rsidRPr="0010739B">
        <w:rPr>
          <w:bCs/>
        </w:rPr>
        <w:t xml:space="preserve"> Einrichtung die Funktion des Zuwendungs</w:t>
      </w:r>
      <w:r w:rsidR="00A13F50">
        <w:rPr>
          <w:bCs/>
        </w:rPr>
        <w:softHyphen/>
      </w:r>
      <w:r w:rsidRPr="0010739B">
        <w:rPr>
          <w:bCs/>
        </w:rPr>
        <w:t xml:space="preserve">empfängers. </w:t>
      </w:r>
      <w:r>
        <w:rPr>
          <w:bCs/>
        </w:rPr>
        <w:t>Diese fungiert als Ansprechp</w:t>
      </w:r>
      <w:r w:rsidR="00126283">
        <w:rPr>
          <w:bCs/>
        </w:rPr>
        <w:t>artner</w:t>
      </w:r>
      <w:r w:rsidRPr="0010739B">
        <w:rPr>
          <w:bCs/>
        </w:rPr>
        <w:t xml:space="preserve"> des Zuwendungs</w:t>
      </w:r>
      <w:r w:rsidR="00A13F50">
        <w:rPr>
          <w:bCs/>
        </w:rPr>
        <w:softHyphen/>
      </w:r>
      <w:r w:rsidRPr="0010739B">
        <w:rPr>
          <w:bCs/>
        </w:rPr>
        <w:t>gebers, leitet ggf. die Zuschüsse an die Projekt</w:t>
      </w:r>
      <w:r>
        <w:rPr>
          <w:bCs/>
        </w:rPr>
        <w:t>parteien</w:t>
      </w:r>
      <w:r w:rsidRPr="0010739B">
        <w:rPr>
          <w:bCs/>
        </w:rPr>
        <w:t xml:space="preserve"> weiter und übernimmt die Aufgabe der Berichtserstellung und Nachweisführung.</w:t>
      </w:r>
    </w:p>
    <w:p w14:paraId="1CF6ED55" w14:textId="77777777" w:rsidR="009E4086" w:rsidRPr="008B44D3" w:rsidRDefault="009E4086" w:rsidP="009E4086">
      <w:pPr>
        <w:spacing w:after="0" w:line="360" w:lineRule="auto"/>
        <w:rPr>
          <w:bCs/>
        </w:rPr>
      </w:pPr>
    </w:p>
    <w:p w14:paraId="47FBA30E" w14:textId="77777777" w:rsidR="009E4086" w:rsidRDefault="009E4086" w:rsidP="009E4086">
      <w:pPr>
        <w:spacing w:after="0" w:line="360" w:lineRule="auto"/>
        <w:rPr>
          <w:bCs/>
        </w:rPr>
      </w:pPr>
      <w:r w:rsidRPr="00B16AD2">
        <w:rPr>
          <w:bCs/>
        </w:rPr>
        <w:t>Das Projekt muss in Baden-Württemberg durchgeführt werden.</w:t>
      </w:r>
      <w:r>
        <w:rPr>
          <w:bCs/>
        </w:rPr>
        <w:t xml:space="preserve"> </w:t>
      </w:r>
    </w:p>
    <w:p w14:paraId="1BAB2D60" w14:textId="77777777" w:rsidR="009E4086" w:rsidRPr="008B44D3" w:rsidRDefault="009E4086" w:rsidP="009E4086">
      <w:pPr>
        <w:spacing w:after="0" w:line="360" w:lineRule="auto"/>
        <w:rPr>
          <w:bCs/>
        </w:rPr>
      </w:pPr>
    </w:p>
    <w:p w14:paraId="10F874D3" w14:textId="77777777" w:rsidR="009E4086" w:rsidRPr="00DF130E" w:rsidRDefault="009E4086" w:rsidP="009E4086">
      <w:pPr>
        <w:pStyle w:val="berschrift1"/>
        <w:spacing w:before="0"/>
        <w:rPr>
          <w:b w:val="0"/>
        </w:rPr>
      </w:pPr>
      <w:r>
        <w:t>IV</w:t>
      </w:r>
      <w:r w:rsidRPr="00DF130E">
        <w:t>. Art, Höhe und Umfang der Zuwendung:</w:t>
      </w:r>
    </w:p>
    <w:p w14:paraId="26A677EE" w14:textId="3863A00E" w:rsidR="009E4086" w:rsidRDefault="009E4086" w:rsidP="009E4086">
      <w:pPr>
        <w:autoSpaceDE w:val="0"/>
        <w:autoSpaceDN w:val="0"/>
        <w:adjustRightInd w:val="0"/>
        <w:spacing w:after="0" w:line="360" w:lineRule="auto"/>
        <w:rPr>
          <w:bCs/>
        </w:rPr>
      </w:pPr>
      <w:r w:rsidRPr="00DF130E">
        <w:rPr>
          <w:bCs/>
        </w:rPr>
        <w:t xml:space="preserve">Die Zuwendung erfolgt im Wege der Projektförderung und wird als Zuschuss in der Form einer Anteilsfinanzierung in Höhe von </w:t>
      </w:r>
      <w:r w:rsidRPr="00DF130E">
        <w:rPr>
          <w:bCs/>
          <w:u w:val="single"/>
        </w:rPr>
        <w:t>bis zu</w:t>
      </w:r>
      <w:r w:rsidRPr="00DF130E">
        <w:rPr>
          <w:bCs/>
        </w:rPr>
        <w:t xml:space="preserve"> 70 Prozent der zuwendungs</w:t>
      </w:r>
      <w:r w:rsidR="00A13F50">
        <w:rPr>
          <w:bCs/>
        </w:rPr>
        <w:softHyphen/>
      </w:r>
      <w:r w:rsidRPr="00DF130E">
        <w:rPr>
          <w:bCs/>
        </w:rPr>
        <w:t>fähigen Ausgaben gewährt. Hierbei sind insbesondere die maßgeblichen Schwellen</w:t>
      </w:r>
      <w:r w:rsidR="00A13F50">
        <w:rPr>
          <w:bCs/>
        </w:rPr>
        <w:softHyphen/>
      </w:r>
      <w:r w:rsidRPr="00DF130E">
        <w:rPr>
          <w:bCs/>
        </w:rPr>
        <w:t>werte und Beihilfeintensitäten nach Art. 4, Art. 25 und Art. 29 der Allgemeinen Gruppen</w:t>
      </w:r>
      <w:r w:rsidR="00A13F50">
        <w:rPr>
          <w:bCs/>
        </w:rPr>
        <w:softHyphen/>
      </w:r>
      <w:r w:rsidRPr="00DF130E">
        <w:rPr>
          <w:bCs/>
        </w:rPr>
        <w:t xml:space="preserve">freistellungsverordnung der Europäischen Union zu beachten. Eigenmittel </w:t>
      </w:r>
      <w:r>
        <w:rPr>
          <w:bCs/>
        </w:rPr>
        <w:t xml:space="preserve">der antragsstellenden Organisation </w:t>
      </w:r>
      <w:r w:rsidRPr="00DF130E">
        <w:rPr>
          <w:bCs/>
        </w:rPr>
        <w:t xml:space="preserve">und Finanzierungsbeiträge </w:t>
      </w:r>
      <w:r>
        <w:rPr>
          <w:bCs/>
        </w:rPr>
        <w:t>von Dritten</w:t>
      </w:r>
      <w:r w:rsidRPr="00DF130E">
        <w:rPr>
          <w:bCs/>
        </w:rPr>
        <w:t xml:space="preserve"> sind entsprechend in Höhe von mindestens 30 Prozent der zuwendungsfähigen Ausgaben einzu</w:t>
      </w:r>
      <w:r w:rsidR="00BB3E4F">
        <w:rPr>
          <w:bCs/>
        </w:rPr>
        <w:t>bringen</w:t>
      </w:r>
      <w:r>
        <w:rPr>
          <w:bCs/>
        </w:rPr>
        <w:t>.</w:t>
      </w:r>
      <w:r w:rsidRPr="00761FBC">
        <w:t xml:space="preserve"> </w:t>
      </w:r>
      <w:r w:rsidR="00ED3D6D">
        <w:rPr>
          <w:bCs/>
        </w:rPr>
        <w:t>Der</w:t>
      </w:r>
      <w:r w:rsidRPr="00761FBC">
        <w:rPr>
          <w:bCs/>
        </w:rPr>
        <w:t xml:space="preserve"> Eigenanteil</w:t>
      </w:r>
      <w:r w:rsidR="00ED3D6D">
        <w:rPr>
          <w:bCs/>
        </w:rPr>
        <w:t xml:space="preserve"> kann</w:t>
      </w:r>
      <w:r w:rsidRPr="00761FBC">
        <w:rPr>
          <w:bCs/>
        </w:rPr>
        <w:t xml:space="preserve"> mittels </w:t>
      </w:r>
      <w:r>
        <w:rPr>
          <w:bCs/>
        </w:rPr>
        <w:t xml:space="preserve">selbst </w:t>
      </w:r>
      <w:r w:rsidRPr="00761FBC">
        <w:rPr>
          <w:bCs/>
        </w:rPr>
        <w:t>übernommenen Projektausgaben, Beiträgen der Teilnehmenden oder Freistellungs</w:t>
      </w:r>
      <w:r w:rsidR="00A13F50">
        <w:rPr>
          <w:bCs/>
        </w:rPr>
        <w:softHyphen/>
      </w:r>
      <w:r w:rsidRPr="00761FBC">
        <w:rPr>
          <w:bCs/>
        </w:rPr>
        <w:t xml:space="preserve">kosten Teilnehmender </w:t>
      </w:r>
      <w:r w:rsidR="00ED3D6D">
        <w:rPr>
          <w:bCs/>
        </w:rPr>
        <w:t>finanziert werden</w:t>
      </w:r>
      <w:r w:rsidRPr="00761FBC">
        <w:rPr>
          <w:bCs/>
        </w:rPr>
        <w:t>.</w:t>
      </w:r>
      <w:r>
        <w:rPr>
          <w:bCs/>
        </w:rPr>
        <w:t xml:space="preserve"> </w:t>
      </w:r>
      <w:r w:rsidRPr="00A87066">
        <w:rPr>
          <w:bCs/>
        </w:rPr>
        <w:t>Die geplante Erbringung der Eigenmittel muss im Antragsformular an der dafür vorgesehenen Stelle entsprechend dargestellt werden.</w:t>
      </w:r>
    </w:p>
    <w:p w14:paraId="5B539E8E" w14:textId="77777777" w:rsidR="009E4086" w:rsidRPr="00A87066" w:rsidRDefault="009E4086" w:rsidP="009E4086">
      <w:pPr>
        <w:autoSpaceDE w:val="0"/>
        <w:autoSpaceDN w:val="0"/>
        <w:adjustRightInd w:val="0"/>
        <w:spacing w:after="0" w:line="360" w:lineRule="auto"/>
        <w:rPr>
          <w:bCs/>
        </w:rPr>
      </w:pPr>
    </w:p>
    <w:p w14:paraId="31F69729" w14:textId="77777777" w:rsidR="009E4086" w:rsidRPr="00F942C9" w:rsidRDefault="009E4086" w:rsidP="009E4086">
      <w:pPr>
        <w:pStyle w:val="berschrift1"/>
        <w:spacing w:before="0"/>
        <w:rPr>
          <w:b w:val="0"/>
        </w:rPr>
      </w:pPr>
      <w:r w:rsidRPr="00F942C9">
        <w:lastRenderedPageBreak/>
        <w:t>V. Laufzeit der Projekte</w:t>
      </w:r>
    </w:p>
    <w:p w14:paraId="5C11D71C" w14:textId="6A923293" w:rsidR="009E4086" w:rsidRPr="00B6341B" w:rsidRDefault="009E4086" w:rsidP="009E4086">
      <w:pPr>
        <w:spacing w:after="0" w:line="360" w:lineRule="auto"/>
        <w:rPr>
          <w:bCs/>
          <w:color w:val="000000" w:themeColor="text1"/>
        </w:rPr>
      </w:pPr>
      <w:r w:rsidRPr="00B16AD2">
        <w:rPr>
          <w:bCs/>
        </w:rPr>
        <w:t xml:space="preserve">Die </w:t>
      </w:r>
      <w:r>
        <w:rPr>
          <w:bCs/>
        </w:rPr>
        <w:t>Projektl</w:t>
      </w:r>
      <w:r w:rsidRPr="00B16AD2">
        <w:rPr>
          <w:bCs/>
        </w:rPr>
        <w:t xml:space="preserve">aufzeit </w:t>
      </w:r>
      <w:r w:rsidR="00ED3D6D">
        <w:rPr>
          <w:bCs/>
        </w:rPr>
        <w:t>erstreckt</w:t>
      </w:r>
      <w:r w:rsidRPr="00B16AD2">
        <w:rPr>
          <w:bCs/>
        </w:rPr>
        <w:t xml:space="preserve"> sich bis</w:t>
      </w:r>
      <w:r>
        <w:rPr>
          <w:bCs/>
        </w:rPr>
        <w:t xml:space="preserve"> zum</w:t>
      </w:r>
      <w:r w:rsidRPr="00B16AD2">
        <w:rPr>
          <w:bCs/>
        </w:rPr>
        <w:t xml:space="preserve"> </w:t>
      </w:r>
      <w:r>
        <w:rPr>
          <w:bCs/>
        </w:rPr>
        <w:t>31.12.</w:t>
      </w:r>
      <w:r w:rsidRPr="00B16AD2">
        <w:rPr>
          <w:bCs/>
        </w:rPr>
        <w:t>2024</w:t>
      </w:r>
      <w:r w:rsidRPr="00D63714">
        <w:rPr>
          <w:bCs/>
          <w:color w:val="000000" w:themeColor="text1"/>
        </w:rPr>
        <w:t xml:space="preserve">. </w:t>
      </w:r>
      <w:r w:rsidR="00ED3D6D" w:rsidRPr="00ED3D6D">
        <w:rPr>
          <w:bCs/>
          <w:color w:val="000000" w:themeColor="text1"/>
        </w:rPr>
        <w:t xml:space="preserve">Inwiefern die </w:t>
      </w:r>
      <w:r w:rsidR="002578B4" w:rsidRPr="00ED3D6D">
        <w:rPr>
          <w:bCs/>
        </w:rPr>
        <w:t>Möglichkeit</w:t>
      </w:r>
      <w:r w:rsidR="00ED3D6D" w:rsidRPr="00ED3D6D">
        <w:rPr>
          <w:bCs/>
        </w:rPr>
        <w:t xml:space="preserve"> besteht</w:t>
      </w:r>
      <w:r w:rsidR="008B44D3">
        <w:rPr>
          <w:bCs/>
        </w:rPr>
        <w:t>,</w:t>
      </w:r>
      <w:r w:rsidR="002578B4" w:rsidRPr="00ED3D6D">
        <w:rPr>
          <w:bCs/>
        </w:rPr>
        <w:t xml:space="preserve"> </w:t>
      </w:r>
      <w:r w:rsidR="00506AFB" w:rsidRPr="00ED3D6D">
        <w:rPr>
          <w:bCs/>
        </w:rPr>
        <w:t xml:space="preserve">Projekte über das Jahr 2024 </w:t>
      </w:r>
      <w:r w:rsidR="002578B4" w:rsidRPr="00ED3D6D">
        <w:rPr>
          <w:bCs/>
        </w:rPr>
        <w:t xml:space="preserve">hinaus </w:t>
      </w:r>
      <w:r w:rsidR="00506AFB" w:rsidRPr="00ED3D6D">
        <w:rPr>
          <w:bCs/>
        </w:rPr>
        <w:t xml:space="preserve">zu verlängern, </w:t>
      </w:r>
      <w:r w:rsidR="002578B4" w:rsidRPr="00ED3D6D">
        <w:rPr>
          <w:bCs/>
        </w:rPr>
        <w:t>wird</w:t>
      </w:r>
      <w:r w:rsidR="00506AFB" w:rsidRPr="00ED3D6D">
        <w:rPr>
          <w:bCs/>
        </w:rPr>
        <w:t xml:space="preserve"> vom Ministerium für Wirtschaft, Arbeit und Tourismus geprüft.</w:t>
      </w:r>
      <w:r w:rsidRPr="009E0052">
        <w:rPr>
          <w:bCs/>
        </w:rPr>
        <w:br/>
      </w:r>
    </w:p>
    <w:p w14:paraId="3376377F" w14:textId="77777777" w:rsidR="009E4086" w:rsidRPr="00DF130E" w:rsidRDefault="009E4086" w:rsidP="009E4086">
      <w:pPr>
        <w:pStyle w:val="berschrift1"/>
        <w:spacing w:before="0"/>
        <w:rPr>
          <w:b w:val="0"/>
        </w:rPr>
      </w:pPr>
      <w:r w:rsidRPr="00DF130E">
        <w:t>V</w:t>
      </w:r>
      <w:r>
        <w:t>I</w:t>
      </w:r>
      <w:r w:rsidRPr="00DF130E">
        <w:t>. Förderfähige Ausgaben</w:t>
      </w:r>
    </w:p>
    <w:p w14:paraId="593BD34F" w14:textId="77777777" w:rsidR="009E4086" w:rsidRPr="00DF130E" w:rsidRDefault="009E4086" w:rsidP="009E4086">
      <w:pPr>
        <w:tabs>
          <w:tab w:val="left" w:pos="3594"/>
        </w:tabs>
        <w:spacing w:after="0" w:line="360" w:lineRule="auto"/>
        <w:jc w:val="both"/>
      </w:pPr>
      <w:r w:rsidRPr="00DF130E">
        <w:t>Zuwendungsfähig sind folgende Ausgaben:</w:t>
      </w:r>
    </w:p>
    <w:p w14:paraId="6726652C" w14:textId="77777777" w:rsidR="009E4086" w:rsidRPr="00CF6E49" w:rsidRDefault="009E4086" w:rsidP="009E408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Arial"/>
          <w:szCs w:val="24"/>
        </w:rPr>
      </w:pPr>
      <w:r w:rsidRPr="00DF130E">
        <w:rPr>
          <w:rFonts w:cs="Arial"/>
          <w:b/>
          <w:szCs w:val="24"/>
        </w:rPr>
        <w:t xml:space="preserve">Personalkosten des Projektträgers: </w:t>
      </w:r>
      <w:r w:rsidRPr="00DF130E">
        <w:rPr>
          <w:rFonts w:cs="Arial"/>
          <w:szCs w:val="24"/>
        </w:rPr>
        <w:t>Zuwendungsfähig sind projektbezogene Personalausgaben einschließlich Sozialabgaben und sonstiger Arbeitgeber</w:t>
      </w:r>
      <w:r w:rsidR="00A13F50">
        <w:rPr>
          <w:rFonts w:cs="Arial"/>
          <w:szCs w:val="24"/>
        </w:rPr>
        <w:softHyphen/>
      </w:r>
      <w:r w:rsidRPr="00DF130E">
        <w:rPr>
          <w:rFonts w:cs="Arial"/>
          <w:szCs w:val="24"/>
        </w:rPr>
        <w:t xml:space="preserve">anteile. Beim Personal kann es sich um fest bzw. </w:t>
      </w:r>
      <w:r w:rsidRPr="00B73FFC">
        <w:rPr>
          <w:rFonts w:cs="Arial"/>
          <w:szCs w:val="24"/>
        </w:rPr>
        <w:t>befristet angestelltes Personal in Voll-/ Teilzeitbeschäftigung oder um freie Mitarbeitende handeln, die für das Projekt mit einem bestimmten Zeitkontingent freigestellt bzw. eingesetzt werden. Kosten für Projektpersonal sind nur förderfähig, wenn die</w:t>
      </w:r>
      <w:r w:rsidRPr="0008194C">
        <w:rPr>
          <w:rFonts w:cs="Arial"/>
          <w:szCs w:val="24"/>
        </w:rPr>
        <w:t xml:space="preserve"> Vergütung für vergleich</w:t>
      </w:r>
      <w:r w:rsidR="00A13F50">
        <w:rPr>
          <w:rFonts w:cs="Arial"/>
          <w:szCs w:val="24"/>
        </w:rPr>
        <w:softHyphen/>
      </w:r>
      <w:r w:rsidRPr="0008194C">
        <w:rPr>
          <w:rFonts w:cs="Arial"/>
          <w:szCs w:val="24"/>
        </w:rPr>
        <w:t>bare Bedienstete des L</w:t>
      </w:r>
      <w:r>
        <w:rPr>
          <w:rFonts w:cs="Arial"/>
          <w:szCs w:val="24"/>
        </w:rPr>
        <w:t xml:space="preserve">andes nicht überschritten wird, siehe </w:t>
      </w:r>
      <w:r w:rsidRPr="00DF130E">
        <w:rPr>
          <w:rFonts w:cs="Arial"/>
          <w:szCs w:val="24"/>
        </w:rPr>
        <w:t>Besserstellungs</w:t>
      </w:r>
      <w:r w:rsidR="00A13F50">
        <w:rPr>
          <w:rFonts w:cs="Arial"/>
          <w:szCs w:val="24"/>
        </w:rPr>
        <w:softHyphen/>
      </w:r>
      <w:r w:rsidRPr="00DF130E">
        <w:rPr>
          <w:rFonts w:cs="Arial"/>
          <w:szCs w:val="24"/>
        </w:rPr>
        <w:t xml:space="preserve">verbot gegenüber Landesbediensteten gemäß Ziffer 1.3 </w:t>
      </w:r>
      <w:proofErr w:type="spellStart"/>
      <w:r w:rsidRPr="00DF130E">
        <w:rPr>
          <w:rFonts w:cs="Arial"/>
          <w:szCs w:val="24"/>
        </w:rPr>
        <w:t>ANBest</w:t>
      </w:r>
      <w:proofErr w:type="spellEnd"/>
      <w:r w:rsidRPr="00DF130E">
        <w:rPr>
          <w:rFonts w:cs="Arial"/>
          <w:szCs w:val="24"/>
        </w:rPr>
        <w:t>-</w:t>
      </w:r>
      <w:r>
        <w:rPr>
          <w:rFonts w:cs="Arial"/>
          <w:szCs w:val="24"/>
        </w:rPr>
        <w:t>P</w:t>
      </w:r>
      <w:r w:rsidRPr="00DF130E">
        <w:rPr>
          <w:rFonts w:cs="Arial"/>
          <w:szCs w:val="24"/>
        </w:rPr>
        <w:t xml:space="preserve">. Die jeweiligen Maximalbeträge </w:t>
      </w:r>
      <w:r w:rsidRPr="00CF6E49">
        <w:rPr>
          <w:rFonts w:cs="Arial"/>
          <w:szCs w:val="24"/>
        </w:rPr>
        <w:t xml:space="preserve">können </w:t>
      </w:r>
      <w:r w:rsidRPr="00DC7982">
        <w:rPr>
          <w:rFonts w:cs="Arial"/>
          <w:szCs w:val="24"/>
        </w:rPr>
        <w:t>der Anlage „Gesamtaufwand einer Beschäftigtenstelle“ zum Förderaufruf entnommen werden</w:t>
      </w:r>
      <w:r w:rsidRPr="00DC7982">
        <w:t>. E</w:t>
      </w:r>
      <w:r>
        <w:t xml:space="preserve">ine Anerkennung von weiteren Zulagen ist nicht möglich. Personalkosten sind maximal äquivalent zu Entgeltgruppe 14 des Tarifvertrags für den Öffentlichen Dienst der Länder (TV-L) förderfähig. </w:t>
      </w:r>
    </w:p>
    <w:p w14:paraId="47044344" w14:textId="77777777" w:rsidR="009E4086" w:rsidRDefault="009E4086" w:rsidP="009E408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Arial"/>
          <w:szCs w:val="24"/>
        </w:rPr>
      </w:pPr>
      <w:r w:rsidRPr="00DF130E">
        <w:rPr>
          <w:rFonts w:cs="Arial"/>
          <w:b/>
          <w:szCs w:val="24"/>
        </w:rPr>
        <w:t xml:space="preserve">Gemeinkostenpauschale: </w:t>
      </w:r>
      <w:r w:rsidRPr="00DF130E">
        <w:rPr>
          <w:rFonts w:cs="Arial"/>
          <w:szCs w:val="24"/>
        </w:rPr>
        <w:t xml:space="preserve">Zuwendungsfähig ist zudem ein pauschaler Zuschlag in Höhe von 15 Prozent der </w:t>
      </w:r>
      <w:r>
        <w:rPr>
          <w:rFonts w:cs="Arial"/>
          <w:szCs w:val="24"/>
        </w:rPr>
        <w:t>internen</w:t>
      </w:r>
      <w:r w:rsidRPr="00DF130E">
        <w:rPr>
          <w:rFonts w:cs="Arial"/>
          <w:szCs w:val="24"/>
        </w:rPr>
        <w:t xml:space="preserve"> Personalkosten. Die Gemeinkosten</w:t>
      </w:r>
      <w:r w:rsidR="00A13F50">
        <w:rPr>
          <w:rFonts w:cs="Arial"/>
          <w:szCs w:val="24"/>
        </w:rPr>
        <w:softHyphen/>
      </w:r>
      <w:r w:rsidRPr="00DF130E">
        <w:rPr>
          <w:rFonts w:cs="Arial"/>
          <w:szCs w:val="24"/>
        </w:rPr>
        <w:t xml:space="preserve">pauschale umfasst insbesondere die projektbezogenen Ausgabenpositionen wie Büromiete, Strom, Wasser, Heizung, Reinigung, IT einschließlich Wartung, Telefon, Porto, Internet, Büroverbrauchsmaterial und gesetzlich vorgeschriebene Versicherungen. </w:t>
      </w:r>
    </w:p>
    <w:p w14:paraId="09957254" w14:textId="77777777" w:rsidR="009E4086" w:rsidRPr="00BC12B4" w:rsidRDefault="009E4086" w:rsidP="009E408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Arial"/>
          <w:szCs w:val="24"/>
        </w:rPr>
      </w:pPr>
      <w:r w:rsidRPr="00B73FFC">
        <w:rPr>
          <w:rFonts w:cs="Arial"/>
          <w:b/>
          <w:szCs w:val="24"/>
        </w:rPr>
        <w:t>Externe Personalkosten:</w:t>
      </w:r>
      <w:r w:rsidRPr="00BC12B4">
        <w:rPr>
          <w:rFonts w:cs="Arial"/>
          <w:szCs w:val="24"/>
        </w:rPr>
        <w:t xml:space="preserve"> Zuwendungsfähig sind außerdem Honorare für externes Personal.</w:t>
      </w:r>
    </w:p>
    <w:p w14:paraId="454FC633" w14:textId="77777777" w:rsidR="009E4086" w:rsidRPr="00705DAE" w:rsidRDefault="009E4086" w:rsidP="009E408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Arial"/>
          <w:szCs w:val="24"/>
        </w:rPr>
      </w:pPr>
      <w:r w:rsidRPr="00705DAE">
        <w:rPr>
          <w:rFonts w:cs="Arial"/>
          <w:b/>
          <w:szCs w:val="24"/>
        </w:rPr>
        <w:t xml:space="preserve">Reisekosten </w:t>
      </w:r>
      <w:r w:rsidRPr="00705DAE">
        <w:rPr>
          <w:rFonts w:cs="Arial"/>
          <w:szCs w:val="24"/>
        </w:rPr>
        <w:t>sind für Personal der durchführenden Einrichtung nach den Bestimmungen des Landesreisekostengesetzes Baden-Württemberg zuwendungs</w:t>
      </w:r>
      <w:r w:rsidR="00A13F50">
        <w:rPr>
          <w:rFonts w:cs="Arial"/>
          <w:szCs w:val="24"/>
        </w:rPr>
        <w:softHyphen/>
      </w:r>
      <w:r w:rsidRPr="00705DAE">
        <w:rPr>
          <w:rFonts w:cs="Arial"/>
          <w:szCs w:val="24"/>
        </w:rPr>
        <w:t>fähig.</w:t>
      </w:r>
    </w:p>
    <w:p w14:paraId="20736985" w14:textId="77777777" w:rsidR="009E4086" w:rsidRDefault="009E4086" w:rsidP="009E408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Arial"/>
          <w:szCs w:val="24"/>
        </w:rPr>
      </w:pPr>
      <w:r>
        <w:rPr>
          <w:rFonts w:cs="Arial"/>
          <w:b/>
          <w:szCs w:val="24"/>
        </w:rPr>
        <w:t>Projekt</w:t>
      </w:r>
      <w:r w:rsidRPr="00DF130E">
        <w:rPr>
          <w:rFonts w:cs="Arial"/>
          <w:b/>
          <w:szCs w:val="24"/>
        </w:rPr>
        <w:t xml:space="preserve">bezogene Ausgaben für Öffentlichkeitsarbeit </w:t>
      </w:r>
      <w:r>
        <w:rPr>
          <w:rFonts w:cs="Arial"/>
          <w:b/>
          <w:szCs w:val="24"/>
        </w:rPr>
        <w:t>und</w:t>
      </w:r>
      <w:r w:rsidRPr="00DF130E">
        <w:rPr>
          <w:rFonts w:cs="Arial"/>
          <w:b/>
          <w:szCs w:val="24"/>
        </w:rPr>
        <w:t xml:space="preserve"> Veranstaltungen </w:t>
      </w:r>
      <w:r w:rsidRPr="00DF130E">
        <w:rPr>
          <w:rFonts w:cs="Arial"/>
          <w:szCs w:val="24"/>
        </w:rPr>
        <w:t>können berücksichtigt werden, sofern deren Notwendigkeit zur Erreichung der Projektziele und ihre Höhe nach den Kriterien der Wirtschaftlichkeit und Sparsamkeit nachvollziehbar begründet werden.</w:t>
      </w:r>
    </w:p>
    <w:p w14:paraId="06A3E8BD" w14:textId="4700ED7F" w:rsidR="009E4086" w:rsidRDefault="009E4086" w:rsidP="009E4086">
      <w:pPr>
        <w:spacing w:after="0" w:line="360" w:lineRule="auto"/>
        <w:rPr>
          <w:bCs/>
        </w:rPr>
      </w:pPr>
    </w:p>
    <w:p w14:paraId="0F89AA04" w14:textId="77777777" w:rsidR="008941AD" w:rsidRPr="008941AD" w:rsidRDefault="008941AD" w:rsidP="008941AD">
      <w:pPr>
        <w:autoSpaceDE w:val="0"/>
        <w:autoSpaceDN w:val="0"/>
        <w:adjustRightInd w:val="0"/>
        <w:spacing w:line="360" w:lineRule="auto"/>
        <w:rPr>
          <w:rFonts w:eastAsia="Times New Roman" w:cs="Arial"/>
          <w:szCs w:val="24"/>
        </w:rPr>
      </w:pPr>
      <w:r w:rsidRPr="008941AD">
        <w:rPr>
          <w:rFonts w:eastAsia="Times New Roman" w:cs="Arial"/>
          <w:szCs w:val="24"/>
          <w:u w:val="single"/>
        </w:rPr>
        <w:lastRenderedPageBreak/>
        <w:t>Nicht zuwendungsfähig sind folgende Ausgaben</w:t>
      </w:r>
      <w:r w:rsidRPr="008941AD">
        <w:rPr>
          <w:rFonts w:eastAsia="Times New Roman" w:cs="Arial"/>
          <w:szCs w:val="24"/>
        </w:rPr>
        <w:t xml:space="preserve">: </w:t>
      </w:r>
    </w:p>
    <w:p w14:paraId="2F4C1A05" w14:textId="77777777" w:rsidR="008941AD" w:rsidRPr="008941AD" w:rsidRDefault="008941AD" w:rsidP="008941A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szCs w:val="24"/>
        </w:rPr>
      </w:pPr>
      <w:r w:rsidRPr="008941AD">
        <w:rPr>
          <w:rFonts w:eastAsia="Times New Roman" w:cs="Arial"/>
          <w:szCs w:val="24"/>
        </w:rPr>
        <w:t xml:space="preserve">Umsatzsteuerbeträge, die nach § 15 Umsatzsteuergesetz (UStG) als Vorsteuer abziehbar sind, </w:t>
      </w:r>
    </w:p>
    <w:p w14:paraId="158EFEFF" w14:textId="77777777" w:rsidR="008941AD" w:rsidRPr="008941AD" w:rsidRDefault="008941AD" w:rsidP="008941A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szCs w:val="24"/>
        </w:rPr>
      </w:pPr>
      <w:r w:rsidRPr="008941AD">
        <w:rPr>
          <w:rFonts w:eastAsia="Times New Roman" w:cs="Arial"/>
          <w:szCs w:val="24"/>
        </w:rPr>
        <w:t xml:space="preserve">Beiträge zu nicht gesetzlich vorgeschriebenen Versicherungen; </w:t>
      </w:r>
    </w:p>
    <w:p w14:paraId="29D93390" w14:textId="77777777" w:rsidR="008941AD" w:rsidRPr="008941AD" w:rsidRDefault="008941AD" w:rsidP="008941A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szCs w:val="24"/>
        </w:rPr>
      </w:pPr>
      <w:r w:rsidRPr="008941AD">
        <w:rPr>
          <w:rFonts w:eastAsia="Times New Roman" w:cs="Arial"/>
          <w:szCs w:val="24"/>
        </w:rPr>
        <w:t xml:space="preserve">Zuführungen an Rücklagen, </w:t>
      </w:r>
    </w:p>
    <w:p w14:paraId="0C9BD443" w14:textId="77777777" w:rsidR="008941AD" w:rsidRPr="008941AD" w:rsidRDefault="008941AD" w:rsidP="008941A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szCs w:val="24"/>
        </w:rPr>
      </w:pPr>
      <w:r w:rsidRPr="008941AD">
        <w:rPr>
          <w:rFonts w:eastAsia="Times New Roman" w:cs="Arial"/>
          <w:szCs w:val="24"/>
        </w:rPr>
        <w:t xml:space="preserve">nicht-kassenwirksame Aufwendungen und Kosten (Abschreibungen, Bildung von Rückstellungen, kalkulatorische Zinsen et </w:t>
      </w:r>
      <w:proofErr w:type="spellStart"/>
      <w:r w:rsidRPr="008941AD">
        <w:rPr>
          <w:rFonts w:eastAsia="Times New Roman" w:cs="Arial"/>
          <w:szCs w:val="24"/>
        </w:rPr>
        <w:t>cetera</w:t>
      </w:r>
      <w:proofErr w:type="spellEnd"/>
      <w:r w:rsidRPr="008941AD">
        <w:rPr>
          <w:rFonts w:eastAsia="Times New Roman" w:cs="Arial"/>
          <w:szCs w:val="24"/>
        </w:rPr>
        <w:t xml:space="preserve">); </w:t>
      </w:r>
    </w:p>
    <w:p w14:paraId="512AC39D" w14:textId="77777777" w:rsidR="008941AD" w:rsidRPr="008941AD" w:rsidRDefault="008941AD" w:rsidP="008941A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szCs w:val="24"/>
        </w:rPr>
      </w:pPr>
      <w:r w:rsidRPr="008941AD">
        <w:rPr>
          <w:rFonts w:eastAsia="Times New Roman" w:cs="Arial"/>
          <w:szCs w:val="24"/>
        </w:rPr>
        <w:t>Entgelte, soweit sie die Tarifverträge des Bundes, der Länder oder Kommunen übersteigen;</w:t>
      </w:r>
    </w:p>
    <w:p w14:paraId="09A3EE2B" w14:textId="77777777" w:rsidR="008941AD" w:rsidRDefault="008941AD" w:rsidP="009E4086">
      <w:pPr>
        <w:spacing w:after="0" w:line="360" w:lineRule="auto"/>
        <w:rPr>
          <w:bCs/>
        </w:rPr>
      </w:pPr>
    </w:p>
    <w:p w14:paraId="592450D5" w14:textId="77777777" w:rsidR="009E4086" w:rsidRPr="006F2EA5" w:rsidRDefault="009E4086" w:rsidP="009E4086">
      <w:pPr>
        <w:pStyle w:val="berschrift1"/>
        <w:spacing w:before="0"/>
        <w:rPr>
          <w:b w:val="0"/>
        </w:rPr>
      </w:pPr>
      <w:r>
        <w:t>V</w:t>
      </w:r>
      <w:r w:rsidRPr="006F2EA5">
        <w:t>II. Auswahlkriterien:</w:t>
      </w:r>
    </w:p>
    <w:p w14:paraId="613DE1BB" w14:textId="77777777" w:rsidR="009E4086" w:rsidRPr="005E2ED5" w:rsidRDefault="009E4086" w:rsidP="009E4086">
      <w:pPr>
        <w:spacing w:after="0" w:line="360" w:lineRule="auto"/>
        <w:rPr>
          <w:bCs/>
        </w:rPr>
      </w:pPr>
      <w:r w:rsidRPr="00DC123D">
        <w:rPr>
          <w:bCs/>
        </w:rPr>
        <w:t xml:space="preserve">Die eingegangenen </w:t>
      </w:r>
      <w:r>
        <w:rPr>
          <w:bCs/>
        </w:rPr>
        <w:t>Projektanträge</w:t>
      </w:r>
      <w:r w:rsidRPr="005E2ED5">
        <w:rPr>
          <w:bCs/>
        </w:rPr>
        <w:t xml:space="preserve"> werden von Mitarbeitenden des Ministeriums für Wirtschaft, Arbeit und Tourismus nach</w:t>
      </w:r>
      <w:r>
        <w:rPr>
          <w:bCs/>
        </w:rPr>
        <w:t xml:space="preserve"> den </w:t>
      </w:r>
      <w:r w:rsidRPr="005E2ED5">
        <w:rPr>
          <w:bCs/>
        </w:rPr>
        <w:t>folgenden</w:t>
      </w:r>
      <w:r>
        <w:rPr>
          <w:bCs/>
        </w:rPr>
        <w:t xml:space="preserve"> Kriterien bewertet:</w:t>
      </w:r>
    </w:p>
    <w:p w14:paraId="1E09A16C" w14:textId="503DB0E0" w:rsidR="009E4086" w:rsidRPr="00044CA5" w:rsidRDefault="009E4086" w:rsidP="009E4086">
      <w:pPr>
        <w:pStyle w:val="Listenabsatz"/>
        <w:numPr>
          <w:ilvl w:val="0"/>
          <w:numId w:val="2"/>
        </w:numPr>
        <w:spacing w:line="360" w:lineRule="auto"/>
        <w:rPr>
          <w:bCs/>
        </w:rPr>
      </w:pPr>
      <w:proofErr w:type="spellStart"/>
      <w:r w:rsidRPr="00DF130E">
        <w:rPr>
          <w:bCs/>
          <w:u w:val="single"/>
        </w:rPr>
        <w:t>Innovativität</w:t>
      </w:r>
      <w:proofErr w:type="spellEnd"/>
      <w:r>
        <w:rPr>
          <w:bCs/>
          <w:u w:val="single"/>
        </w:rPr>
        <w:t xml:space="preserve"> und Qualität</w:t>
      </w:r>
      <w:r w:rsidRPr="00DF130E">
        <w:rPr>
          <w:bCs/>
        </w:rPr>
        <w:t xml:space="preserve">: </w:t>
      </w:r>
      <w:r w:rsidRPr="00FF208D">
        <w:rPr>
          <w:bCs/>
        </w:rPr>
        <w:t xml:space="preserve">Grad der Innovation gegenüber bestehenden Angeboten, Schließung vorhandener Angebotslücken, </w:t>
      </w:r>
      <w:r w:rsidRPr="00DF130E">
        <w:rPr>
          <w:bCs/>
        </w:rPr>
        <w:t>Dringlich</w:t>
      </w:r>
      <w:r w:rsidR="00A13F50">
        <w:rPr>
          <w:bCs/>
        </w:rPr>
        <w:softHyphen/>
      </w:r>
      <w:r w:rsidRPr="00DF130E">
        <w:rPr>
          <w:bCs/>
        </w:rPr>
        <w:t>keit des Bedarfs</w:t>
      </w:r>
      <w:r>
        <w:rPr>
          <w:bCs/>
        </w:rPr>
        <w:t xml:space="preserve"> sowie i</w:t>
      </w:r>
      <w:r w:rsidRPr="00DF130E">
        <w:rPr>
          <w:bCs/>
        </w:rPr>
        <w:t>nsbesondere die fachliche Qualität der Konzeption und des Umsetzungsplans. Sofern es das Projektziel befördert, ist eine Zusammen</w:t>
      </w:r>
      <w:r w:rsidR="00A13F50">
        <w:rPr>
          <w:bCs/>
        </w:rPr>
        <w:softHyphen/>
      </w:r>
      <w:r w:rsidRPr="00DF130E">
        <w:rPr>
          <w:bCs/>
        </w:rPr>
        <w:t xml:space="preserve">arbeit des Zuwendungsempfängers mit Hochschulen und </w:t>
      </w:r>
      <w:r w:rsidRPr="00044CA5">
        <w:rPr>
          <w:bCs/>
        </w:rPr>
        <w:t>Forschungs</w:t>
      </w:r>
      <w:r w:rsidR="00A13F50">
        <w:rPr>
          <w:bCs/>
        </w:rPr>
        <w:softHyphen/>
      </w:r>
      <w:r w:rsidRPr="00044CA5">
        <w:rPr>
          <w:bCs/>
        </w:rPr>
        <w:t xml:space="preserve">einrichtungen </w:t>
      </w:r>
      <w:r>
        <w:rPr>
          <w:bCs/>
        </w:rPr>
        <w:t>vorstellbar</w:t>
      </w:r>
      <w:r w:rsidRPr="00044CA5">
        <w:rPr>
          <w:bCs/>
        </w:rPr>
        <w:t xml:space="preserve"> (siehe auch Abschnitt </w:t>
      </w:r>
      <w:r>
        <w:rPr>
          <w:bCs/>
        </w:rPr>
        <w:t>III</w:t>
      </w:r>
      <w:r w:rsidRPr="00044CA5">
        <w:rPr>
          <w:bCs/>
        </w:rPr>
        <w:t>.).</w:t>
      </w:r>
    </w:p>
    <w:p w14:paraId="72826195" w14:textId="6BF31476" w:rsidR="002353B4" w:rsidRPr="00B73FFC" w:rsidRDefault="002353B4" w:rsidP="002353B4">
      <w:pPr>
        <w:pStyle w:val="Listenabsatz"/>
        <w:numPr>
          <w:ilvl w:val="0"/>
          <w:numId w:val="2"/>
        </w:numPr>
        <w:spacing w:line="360" w:lineRule="auto"/>
        <w:rPr>
          <w:bCs/>
          <w:strike/>
        </w:rPr>
      </w:pPr>
      <w:r w:rsidRPr="00044CA5">
        <w:rPr>
          <w:bCs/>
          <w:u w:val="single"/>
        </w:rPr>
        <w:t>Nachhaltigkeit und Transfer</w:t>
      </w:r>
      <w:r w:rsidRPr="00044CA5">
        <w:rPr>
          <w:bCs/>
        </w:rPr>
        <w:t xml:space="preserve">: </w:t>
      </w:r>
      <w:r w:rsidR="00ED3D6D">
        <w:rPr>
          <w:bCs/>
        </w:rPr>
        <w:t>G</w:t>
      </w:r>
      <w:r w:rsidR="00ED3D6D" w:rsidRPr="00044CA5">
        <w:rPr>
          <w:bCs/>
        </w:rPr>
        <w:t xml:space="preserve">eeignete Maßnahmen zum Transfer der Projektergebnisse und </w:t>
      </w:r>
      <w:r w:rsidR="00ED3D6D" w:rsidRPr="00B73FFC">
        <w:rPr>
          <w:bCs/>
        </w:rPr>
        <w:t>Ansatzpunkte für eine überregionale Umsetzung</w:t>
      </w:r>
      <w:r w:rsidR="00ED3D6D">
        <w:rPr>
          <w:bCs/>
        </w:rPr>
        <w:t xml:space="preserve">, sowie </w:t>
      </w:r>
      <w:r w:rsidRPr="00044CA5">
        <w:rPr>
          <w:bCs/>
        </w:rPr>
        <w:t>Überlegungen zur Fortführung nach Projektende, zum Beispiel Fortführung als selbsttragendes Angebot oder im Rahmen der ESF-Fachkursförderung</w:t>
      </w:r>
      <w:r w:rsidRPr="00DF130E">
        <w:rPr>
          <w:bCs/>
        </w:rPr>
        <w:t xml:space="preserve"> bzw. des </w:t>
      </w:r>
      <w:r w:rsidR="00ED3D6D">
        <w:rPr>
          <w:bCs/>
        </w:rPr>
        <w:t>Qualifizierungschancengesetzes</w:t>
      </w:r>
      <w:r w:rsidRPr="00B73FFC">
        <w:rPr>
          <w:bCs/>
        </w:rPr>
        <w:t>.</w:t>
      </w:r>
    </w:p>
    <w:p w14:paraId="0EE6778F" w14:textId="77777777" w:rsidR="002353B4" w:rsidRPr="00044CA5" w:rsidRDefault="002353B4" w:rsidP="002353B4">
      <w:pPr>
        <w:pStyle w:val="Listenabsatz"/>
        <w:numPr>
          <w:ilvl w:val="0"/>
          <w:numId w:val="2"/>
        </w:numPr>
        <w:spacing w:line="360" w:lineRule="auto"/>
        <w:rPr>
          <w:bCs/>
        </w:rPr>
      </w:pPr>
      <w:r w:rsidRPr="00B73FFC">
        <w:rPr>
          <w:bCs/>
          <w:u w:val="single"/>
        </w:rPr>
        <w:t>Leistungsfähigkeit der antragstellenden Organisation</w:t>
      </w:r>
      <w:r w:rsidRPr="00B73FFC">
        <w:rPr>
          <w:bCs/>
        </w:rPr>
        <w:t>: Insbesondere personelle Ausstattung und Erfahrungen</w:t>
      </w:r>
      <w:r w:rsidRPr="00044CA5">
        <w:rPr>
          <w:bCs/>
        </w:rPr>
        <w:t xml:space="preserve"> mit öffentlich geförderten Projekten.</w:t>
      </w:r>
    </w:p>
    <w:p w14:paraId="3A85681D" w14:textId="77777777" w:rsidR="002353B4" w:rsidRPr="00DC7982" w:rsidRDefault="002353B4" w:rsidP="002353B4">
      <w:pPr>
        <w:pStyle w:val="Listenabsatz"/>
        <w:numPr>
          <w:ilvl w:val="0"/>
          <w:numId w:val="2"/>
        </w:numPr>
        <w:spacing w:line="360" w:lineRule="auto"/>
        <w:rPr>
          <w:bCs/>
        </w:rPr>
      </w:pPr>
      <w:r w:rsidRPr="00DE6A73">
        <w:rPr>
          <w:bCs/>
          <w:u w:val="single"/>
        </w:rPr>
        <w:t xml:space="preserve">Kosten- und Nutzenverhältnis </w:t>
      </w:r>
      <w:r>
        <w:rPr>
          <w:bCs/>
          <w:u w:val="single"/>
        </w:rPr>
        <w:t>des Projektes</w:t>
      </w:r>
    </w:p>
    <w:p w14:paraId="2AF7FF19" w14:textId="77777777" w:rsidR="002353B4" w:rsidRPr="00B1029E" w:rsidRDefault="002353B4" w:rsidP="002353B4">
      <w:pPr>
        <w:spacing w:after="0" w:line="360" w:lineRule="auto"/>
        <w:rPr>
          <w:bCs/>
        </w:rPr>
      </w:pPr>
    </w:p>
    <w:p w14:paraId="07021E67" w14:textId="77777777" w:rsidR="002353B4" w:rsidRDefault="002353B4" w:rsidP="002353B4">
      <w:pPr>
        <w:spacing w:after="0" w:line="360" w:lineRule="auto"/>
        <w:rPr>
          <w:rFonts w:cs="Arial"/>
          <w:szCs w:val="24"/>
        </w:rPr>
      </w:pPr>
      <w:r w:rsidRPr="00F7279A">
        <w:rPr>
          <w:rStyle w:val="berschrift1Zchn"/>
        </w:rPr>
        <w:t>VIII. Öffentlichkeitsarbeit und Ergebnistransfer</w:t>
      </w:r>
      <w:r>
        <w:rPr>
          <w:rFonts w:cs="Arial"/>
          <w:szCs w:val="24"/>
        </w:rPr>
        <w:br/>
        <w:t>Die Zuwendungsempfänger betreiben im Rahmen des Projektes eine geeignete Öffentlichkeits</w:t>
      </w:r>
      <w:r w:rsidR="00A13F50">
        <w:rPr>
          <w:rFonts w:cs="Arial"/>
          <w:szCs w:val="24"/>
        </w:rPr>
        <w:softHyphen/>
      </w:r>
      <w:r>
        <w:rPr>
          <w:rFonts w:cs="Arial"/>
          <w:szCs w:val="24"/>
        </w:rPr>
        <w:t xml:space="preserve">arbeit und </w:t>
      </w:r>
      <w:r w:rsidRPr="00683C9B">
        <w:rPr>
          <w:rFonts w:cs="Arial"/>
          <w:szCs w:val="24"/>
        </w:rPr>
        <w:t>verpflichten sich, an Maßn</w:t>
      </w:r>
      <w:r w:rsidRPr="00B81AC7">
        <w:rPr>
          <w:rFonts w:cs="Arial"/>
          <w:szCs w:val="24"/>
        </w:rPr>
        <w:t xml:space="preserve">ahmen der Öffentlichkeitsarbeit des Ministeriums für Wirtschaft, Arbeit und </w:t>
      </w:r>
      <w:r w:rsidRPr="00246BA3">
        <w:rPr>
          <w:rFonts w:cs="Arial"/>
          <w:szCs w:val="24"/>
        </w:rPr>
        <w:t>Tourismus</w:t>
      </w:r>
      <w:r w:rsidRPr="00DC123D">
        <w:rPr>
          <w:rFonts w:cs="Arial"/>
          <w:szCs w:val="24"/>
        </w:rPr>
        <w:t xml:space="preserve"> sowie an Fachveranstaltungen mitzuwirken.</w:t>
      </w:r>
      <w:r>
        <w:rPr>
          <w:rFonts w:cs="Arial"/>
          <w:szCs w:val="24"/>
        </w:rPr>
        <w:t xml:space="preserve"> </w:t>
      </w:r>
      <w:r w:rsidRPr="003E0CC4">
        <w:rPr>
          <w:rFonts w:cs="Arial"/>
          <w:szCs w:val="24"/>
        </w:rPr>
        <w:t>Dies umfasst auch die Mitwirkung an Maßnahmen der Öffentlichkeits</w:t>
      </w:r>
      <w:r w:rsidR="00A13F50">
        <w:rPr>
          <w:rFonts w:cs="Arial"/>
          <w:szCs w:val="24"/>
        </w:rPr>
        <w:softHyphen/>
      </w:r>
      <w:r w:rsidRPr="003E0CC4">
        <w:rPr>
          <w:rFonts w:cs="Arial"/>
          <w:szCs w:val="24"/>
        </w:rPr>
        <w:t xml:space="preserve">arbeit </w:t>
      </w:r>
      <w:r w:rsidRPr="003E0CC4">
        <w:rPr>
          <w:rFonts w:cs="Arial"/>
          <w:szCs w:val="24"/>
        </w:rPr>
        <w:lastRenderedPageBreak/>
        <w:t xml:space="preserve">der </w:t>
      </w:r>
      <w:r w:rsidRPr="00F97C6F">
        <w:rPr>
          <w:rFonts w:cs="Arial"/>
          <w:color w:val="000000" w:themeColor="text1"/>
          <w:szCs w:val="24"/>
        </w:rPr>
        <w:t xml:space="preserve">Weiterbildungsoffensive </w:t>
      </w:r>
      <w:proofErr w:type="spellStart"/>
      <w:r w:rsidRPr="00F97C6F">
        <w:rPr>
          <w:rFonts w:cs="Arial"/>
          <w:color w:val="000000" w:themeColor="text1"/>
          <w:szCs w:val="24"/>
        </w:rPr>
        <w:t>WEITER.mit.BILDUNG@BW</w:t>
      </w:r>
      <w:proofErr w:type="spellEnd"/>
      <w:r w:rsidRPr="00F97C6F">
        <w:rPr>
          <w:rFonts w:cs="Arial"/>
          <w:color w:val="000000" w:themeColor="text1"/>
          <w:szCs w:val="24"/>
        </w:rPr>
        <w:t xml:space="preserve"> des Landes Baden-Württemberg.</w:t>
      </w:r>
      <w:r w:rsidRPr="00B81AC7">
        <w:rPr>
          <w:rFonts w:cs="Arial"/>
          <w:szCs w:val="24"/>
        </w:rPr>
        <w:t xml:space="preserve"> In Veröffentlichungen und sonstigen Kommunikationsmaßnahmen ist auf die Förderung durch das Ministerium für Wirtschaft, Arbeit und </w:t>
      </w:r>
      <w:r w:rsidRPr="00DC123D">
        <w:rPr>
          <w:rFonts w:cs="Arial"/>
          <w:szCs w:val="24"/>
        </w:rPr>
        <w:t>Tourismus hinzuweisen</w:t>
      </w:r>
      <w:r w:rsidRPr="00B81AC7">
        <w:rPr>
          <w:rFonts w:cs="Arial"/>
          <w:szCs w:val="24"/>
        </w:rPr>
        <w:t xml:space="preserve">. </w:t>
      </w:r>
    </w:p>
    <w:p w14:paraId="7755115C" w14:textId="77777777" w:rsidR="002353B4" w:rsidRPr="00846EE5" w:rsidRDefault="002353B4" w:rsidP="002353B4">
      <w:pPr>
        <w:spacing w:after="0" w:line="360" w:lineRule="auto"/>
        <w:rPr>
          <w:b/>
          <w:bCs/>
          <w:u w:val="single"/>
        </w:rPr>
      </w:pPr>
    </w:p>
    <w:p w14:paraId="1587DC41" w14:textId="281CD2ED" w:rsidR="002353B4" w:rsidRDefault="002353B4" w:rsidP="002353B4">
      <w:pPr>
        <w:spacing w:after="0" w:line="360" w:lineRule="auto"/>
        <w:rPr>
          <w:rFonts w:cs="Arial"/>
          <w:szCs w:val="24"/>
        </w:rPr>
      </w:pPr>
      <w:r w:rsidRPr="00506AFB">
        <w:rPr>
          <w:rFonts w:cs="Arial"/>
          <w:szCs w:val="24"/>
        </w:rPr>
        <w:t xml:space="preserve">Die Zuwendungsempfänger stellen die entwickelten </w:t>
      </w:r>
      <w:r w:rsidR="00A06FCA" w:rsidRPr="00506AFB">
        <w:rPr>
          <w:rFonts w:cs="Arial"/>
          <w:szCs w:val="24"/>
        </w:rPr>
        <w:t>Weiterbildungs</w:t>
      </w:r>
      <w:r w:rsidR="008C1FED">
        <w:rPr>
          <w:rFonts w:cs="Arial"/>
          <w:szCs w:val="24"/>
        </w:rPr>
        <w:t>format</w:t>
      </w:r>
      <w:r w:rsidR="00A06FCA" w:rsidRPr="00506AFB">
        <w:rPr>
          <w:rFonts w:cs="Arial"/>
          <w:szCs w:val="24"/>
        </w:rPr>
        <w:t>e</w:t>
      </w:r>
      <w:r w:rsidRPr="00506AFB">
        <w:rPr>
          <w:rFonts w:cs="Arial"/>
          <w:szCs w:val="24"/>
        </w:rPr>
        <w:t xml:space="preserve"> und einen Bericht zu den Erfahrungen öffentlich zur Verfügung. </w:t>
      </w:r>
      <w:r w:rsidRPr="00506AFB">
        <w:rPr>
          <w:noProof/>
        </w:rPr>
        <w:t>Das Konzept für einen nachhaltigen Transfer</w:t>
      </w:r>
      <w:r>
        <w:rPr>
          <w:noProof/>
        </w:rPr>
        <w:t xml:space="preserve"> an andere Weiterbildungsträger</w:t>
      </w:r>
      <w:r w:rsidRPr="002E24A1">
        <w:rPr>
          <w:noProof/>
        </w:rPr>
        <w:t xml:space="preserve"> ist darzustellen. </w:t>
      </w:r>
    </w:p>
    <w:p w14:paraId="18195766" w14:textId="77777777" w:rsidR="002353B4" w:rsidRPr="006F2EA5" w:rsidRDefault="002353B4" w:rsidP="002353B4">
      <w:pPr>
        <w:spacing w:after="0" w:line="360" w:lineRule="auto"/>
        <w:rPr>
          <w:bCs/>
          <w:color w:val="FF0000"/>
        </w:rPr>
      </w:pPr>
    </w:p>
    <w:p w14:paraId="1F3A96DC" w14:textId="77777777" w:rsidR="002353B4" w:rsidRPr="003A2DB4" w:rsidRDefault="002353B4" w:rsidP="002353B4">
      <w:pPr>
        <w:pStyle w:val="berschrift1"/>
        <w:spacing w:before="0"/>
        <w:rPr>
          <w:b w:val="0"/>
        </w:rPr>
      </w:pPr>
      <w:r w:rsidRPr="003A2DB4">
        <w:t xml:space="preserve">IX. Rechtsgrundlagen </w:t>
      </w:r>
    </w:p>
    <w:p w14:paraId="25BA2F3E" w14:textId="77777777" w:rsidR="002353B4" w:rsidRPr="003A2DB4" w:rsidRDefault="002353B4" w:rsidP="002353B4">
      <w:pPr>
        <w:spacing w:after="0" w:line="360" w:lineRule="auto"/>
        <w:rPr>
          <w:bCs/>
          <w:color w:val="000000" w:themeColor="text1"/>
        </w:rPr>
      </w:pPr>
      <w:r w:rsidRPr="003A2DB4">
        <w:rPr>
          <w:bCs/>
          <w:color w:val="000000" w:themeColor="text1"/>
        </w:rPr>
        <w:t xml:space="preserve">Die Zuwendungen werden gewährt nach Maßgabe des § 44 in Verbindung mit </w:t>
      </w:r>
    </w:p>
    <w:p w14:paraId="72B335A3" w14:textId="77777777" w:rsidR="002353B4" w:rsidRPr="003A2DB4" w:rsidRDefault="002353B4" w:rsidP="002353B4">
      <w:pPr>
        <w:spacing w:after="0" w:line="360" w:lineRule="auto"/>
        <w:rPr>
          <w:bCs/>
          <w:color w:val="000000" w:themeColor="text1"/>
        </w:rPr>
      </w:pPr>
      <w:r w:rsidRPr="003A2DB4">
        <w:rPr>
          <w:bCs/>
          <w:color w:val="000000" w:themeColor="text1"/>
        </w:rPr>
        <w:t>§ 23 der Landeshaushaltsordnung für Baden-Württemberg (LHO) sowie der hierzu ergangenen Verwaltungsvorschriften (VV-LHO). Insbesondere gelten die Allgemeinen Nebenbestimmungen für Zuwendungen zur Projektförderung (</w:t>
      </w:r>
      <w:proofErr w:type="spellStart"/>
      <w:r w:rsidRPr="003A2DB4">
        <w:rPr>
          <w:bCs/>
          <w:color w:val="000000" w:themeColor="text1"/>
        </w:rPr>
        <w:t>ANBest</w:t>
      </w:r>
      <w:proofErr w:type="spellEnd"/>
      <w:r w:rsidRPr="003A2DB4">
        <w:rPr>
          <w:bCs/>
          <w:color w:val="000000" w:themeColor="text1"/>
        </w:rPr>
        <w:t xml:space="preserve">-P). </w:t>
      </w:r>
    </w:p>
    <w:p w14:paraId="601D9F6E" w14:textId="77777777" w:rsidR="002353B4" w:rsidRPr="003A2DB4" w:rsidRDefault="002353B4" w:rsidP="002353B4">
      <w:pPr>
        <w:spacing w:after="0" w:line="360" w:lineRule="auto"/>
        <w:rPr>
          <w:bCs/>
          <w:color w:val="000000" w:themeColor="text1"/>
        </w:rPr>
      </w:pPr>
    </w:p>
    <w:p w14:paraId="6B7A2A7B" w14:textId="79F8D633" w:rsidR="002353B4" w:rsidRPr="003A2DB4" w:rsidRDefault="002353B4" w:rsidP="002353B4">
      <w:pPr>
        <w:spacing w:after="0" w:line="360" w:lineRule="auto"/>
        <w:rPr>
          <w:bCs/>
          <w:color w:val="000000" w:themeColor="text1"/>
        </w:rPr>
      </w:pPr>
      <w:r w:rsidRPr="003A2DB4">
        <w:rPr>
          <w:bCs/>
          <w:color w:val="000000" w:themeColor="text1"/>
        </w:rPr>
        <w:t xml:space="preserve">Weiterhin gelten </w:t>
      </w:r>
      <w:r w:rsidRPr="009E0052">
        <w:rPr>
          <w:bCs/>
        </w:rPr>
        <w:t>die „</w:t>
      </w:r>
      <w:hyperlink r:id="rId10" w:history="1">
        <w:r w:rsidRPr="009E0052">
          <w:rPr>
            <w:rStyle w:val="Hyperlink"/>
            <w:bCs/>
            <w:color w:val="auto"/>
            <w:u w:val="none"/>
          </w:rPr>
          <w:t>Förderhinweise zu innovativen Projekten im Bereich der beruflichen Weiterbildung in Baden-Württemberg</w:t>
        </w:r>
      </w:hyperlink>
      <w:r w:rsidRPr="009E0052">
        <w:rPr>
          <w:rStyle w:val="Hyperlink"/>
          <w:bCs/>
          <w:color w:val="auto"/>
          <w:u w:val="none"/>
        </w:rPr>
        <w:t>“ vom 20. April 2020</w:t>
      </w:r>
      <w:r w:rsidRPr="009E0052">
        <w:rPr>
          <w:bCs/>
        </w:rPr>
        <w:t xml:space="preserve">. </w:t>
      </w:r>
      <w:r w:rsidRPr="009E0052">
        <w:rPr>
          <w:noProof/>
        </w:rPr>
        <w:t xml:space="preserve">Als </w:t>
      </w:r>
      <w:r>
        <w:rPr>
          <w:noProof/>
        </w:rPr>
        <w:t>förderfähige Ausgaben können allerdings nur die im Rahmen dieses Förderaufrufs genannten Ausgaben geltend gemacht werden.</w:t>
      </w:r>
    </w:p>
    <w:p w14:paraId="48BCA3A0" w14:textId="77777777" w:rsidR="002353B4" w:rsidRPr="003A2DB4" w:rsidRDefault="002353B4" w:rsidP="002353B4">
      <w:pPr>
        <w:spacing w:after="0" w:line="360" w:lineRule="auto"/>
        <w:rPr>
          <w:bCs/>
          <w:color w:val="000000" w:themeColor="text1"/>
        </w:rPr>
      </w:pPr>
    </w:p>
    <w:p w14:paraId="07DDFD2E" w14:textId="77777777" w:rsidR="002353B4" w:rsidRPr="003A2DB4" w:rsidRDefault="002353B4" w:rsidP="002353B4">
      <w:pPr>
        <w:spacing w:after="0" w:line="360" w:lineRule="auto"/>
        <w:rPr>
          <w:bCs/>
          <w:color w:val="000000" w:themeColor="text1"/>
        </w:rPr>
      </w:pPr>
      <w:r w:rsidRPr="003A2DB4">
        <w:rPr>
          <w:bCs/>
          <w:color w:val="000000" w:themeColor="text1"/>
        </w:rPr>
        <w:t xml:space="preserve">Maßgeblich sind die </w:t>
      </w:r>
      <w:r>
        <w:rPr>
          <w:bCs/>
          <w:color w:val="000000" w:themeColor="text1"/>
        </w:rPr>
        <w:t xml:space="preserve">o. g. </w:t>
      </w:r>
      <w:r w:rsidRPr="003A2DB4">
        <w:rPr>
          <w:bCs/>
          <w:color w:val="000000" w:themeColor="text1"/>
        </w:rPr>
        <w:t>Rechtsgrundlagen in der jeweils geltenden Fassung.</w:t>
      </w:r>
      <w:r>
        <w:rPr>
          <w:noProof/>
        </w:rPr>
        <w:t xml:space="preserve"> </w:t>
      </w:r>
    </w:p>
    <w:p w14:paraId="6A468F32" w14:textId="77777777" w:rsidR="002353B4" w:rsidRPr="003A2DB4" w:rsidRDefault="002353B4" w:rsidP="002353B4">
      <w:pPr>
        <w:spacing w:after="0" w:line="360" w:lineRule="auto"/>
        <w:rPr>
          <w:bCs/>
          <w:color w:val="000000" w:themeColor="text1"/>
        </w:rPr>
      </w:pPr>
      <w:r w:rsidRPr="003A2DB4">
        <w:rPr>
          <w:bCs/>
          <w:color w:val="000000" w:themeColor="text1"/>
        </w:rPr>
        <w:t xml:space="preserve">Weitere Bedingungen und Auflagen werden ggfs. im Zuwendungsbescheid festgelegt. </w:t>
      </w:r>
    </w:p>
    <w:p w14:paraId="2FF067ED" w14:textId="77777777" w:rsidR="002353B4" w:rsidRPr="003A2DB4" w:rsidRDefault="002353B4" w:rsidP="002353B4">
      <w:pPr>
        <w:spacing w:after="0" w:line="360" w:lineRule="auto"/>
        <w:rPr>
          <w:bCs/>
          <w:color w:val="000000" w:themeColor="text1"/>
        </w:rPr>
      </w:pPr>
    </w:p>
    <w:p w14:paraId="34CFC51E" w14:textId="77777777" w:rsidR="002353B4" w:rsidRPr="003A2DB4" w:rsidRDefault="002353B4" w:rsidP="002353B4">
      <w:pPr>
        <w:spacing w:after="0" w:line="360" w:lineRule="auto"/>
        <w:rPr>
          <w:bCs/>
          <w:color w:val="000000" w:themeColor="text1"/>
        </w:rPr>
      </w:pPr>
      <w:r w:rsidRPr="003A2DB4">
        <w:rPr>
          <w:bCs/>
          <w:color w:val="000000" w:themeColor="text1"/>
        </w:rPr>
        <w:t xml:space="preserve">Ein </w:t>
      </w:r>
      <w:r w:rsidRPr="00B73FFC">
        <w:rPr>
          <w:bCs/>
          <w:color w:val="000000" w:themeColor="text1"/>
        </w:rPr>
        <w:t xml:space="preserve">Rechtsanspruch der antragstellenden Organisation auf Gewährung der Zuwendung besteht </w:t>
      </w:r>
      <w:r w:rsidRPr="00B73FFC">
        <w:rPr>
          <w:bCs/>
          <w:color w:val="000000" w:themeColor="text1"/>
          <w:u w:val="single"/>
        </w:rPr>
        <w:t>nicht</w:t>
      </w:r>
      <w:r w:rsidRPr="00B73FFC">
        <w:rPr>
          <w:bCs/>
          <w:color w:val="000000" w:themeColor="text1"/>
        </w:rPr>
        <w:t>. Der Zuwendungsgeber entscheidet</w:t>
      </w:r>
      <w:r w:rsidRPr="003A2DB4">
        <w:rPr>
          <w:bCs/>
          <w:color w:val="000000" w:themeColor="text1"/>
        </w:rPr>
        <w:t xml:space="preserve"> aufgrund seines pflichtgemäßen Ermessens im Rahmen der verfügbaren Haushaltsmittel.</w:t>
      </w:r>
    </w:p>
    <w:p w14:paraId="21C9D775" w14:textId="77777777" w:rsidR="002353B4" w:rsidRPr="003A2DB4" w:rsidRDefault="002353B4" w:rsidP="002353B4">
      <w:pPr>
        <w:spacing w:after="0" w:line="360" w:lineRule="auto"/>
        <w:rPr>
          <w:bCs/>
          <w:color w:val="000000" w:themeColor="text1"/>
        </w:rPr>
      </w:pPr>
    </w:p>
    <w:p w14:paraId="575B68E3" w14:textId="5A3E64AD" w:rsidR="002353B4" w:rsidRPr="00B73FFC" w:rsidRDefault="002353B4" w:rsidP="002353B4">
      <w:pPr>
        <w:spacing w:after="0" w:line="360" w:lineRule="auto"/>
        <w:rPr>
          <w:bCs/>
          <w:color w:val="000000" w:themeColor="text1"/>
        </w:rPr>
      </w:pPr>
      <w:r w:rsidRPr="003A2DB4">
        <w:rPr>
          <w:bCs/>
          <w:color w:val="000000" w:themeColor="text1"/>
        </w:rPr>
        <w:t>Wir weisen darauf hin, dass Ihre Angaben zum Zwecke der Antragsbearbeitung und Projektverwaltung im Ministerium für Wirtschaft, Arbeit und Tourismus Baden-Württemberg gemäß der Datenschutz-Grundverordnung (DS-GVO) gespeichert und verarbeitet werden. Informationen zum Schutz Ihrer persönlichen Daten und zur Daten</w:t>
      </w:r>
      <w:r w:rsidR="00A13F50">
        <w:rPr>
          <w:bCs/>
          <w:color w:val="000000" w:themeColor="text1"/>
        </w:rPr>
        <w:softHyphen/>
      </w:r>
      <w:r w:rsidRPr="003A2DB4">
        <w:rPr>
          <w:bCs/>
          <w:color w:val="000000" w:themeColor="text1"/>
        </w:rPr>
        <w:t xml:space="preserve">verarbeitung finden Sie unter </w:t>
      </w:r>
      <w:hyperlink r:id="rId11" w:history="1">
        <w:r w:rsidR="009E0052" w:rsidRPr="00523A0F">
          <w:rPr>
            <w:rStyle w:val="Hyperlink"/>
            <w:bCs/>
          </w:rPr>
          <w:t>https://wm.baden-wuerttemberg.de/ds-info</w:t>
        </w:r>
      </w:hyperlink>
      <w:r w:rsidRPr="009E0052">
        <w:rPr>
          <w:bCs/>
        </w:rPr>
        <w:t>.</w:t>
      </w:r>
    </w:p>
    <w:p w14:paraId="68D3ADF2" w14:textId="77777777" w:rsidR="002353B4" w:rsidRPr="006F2EA5" w:rsidRDefault="002353B4" w:rsidP="002353B4">
      <w:pPr>
        <w:spacing w:after="0" w:line="360" w:lineRule="auto"/>
        <w:rPr>
          <w:bCs/>
          <w:color w:val="FF0000"/>
        </w:rPr>
      </w:pPr>
    </w:p>
    <w:p w14:paraId="1BC502D2" w14:textId="77777777" w:rsidR="002353B4" w:rsidRPr="00593D7C" w:rsidRDefault="002353B4" w:rsidP="002353B4">
      <w:pPr>
        <w:pStyle w:val="berschrift1"/>
        <w:spacing w:before="0"/>
        <w:rPr>
          <w:b w:val="0"/>
        </w:rPr>
      </w:pPr>
      <w:r w:rsidRPr="00593D7C">
        <w:lastRenderedPageBreak/>
        <w:t>X. Sonstiges</w:t>
      </w:r>
    </w:p>
    <w:p w14:paraId="7009E6F6" w14:textId="77777777" w:rsidR="002353B4" w:rsidRPr="00593D7C" w:rsidRDefault="002353B4" w:rsidP="002353B4">
      <w:pPr>
        <w:spacing w:after="0" w:line="360" w:lineRule="auto"/>
        <w:rPr>
          <w:bCs/>
        </w:rPr>
      </w:pPr>
      <w:r w:rsidRPr="00593D7C">
        <w:rPr>
          <w:bCs/>
        </w:rPr>
        <w:t>Der Zuwendungsgeber ist berechtigt, Bücher, Belege und sonstige Unterlagen anzufordern sowie die Verwendung der Zuwendung auch im Rahmen einer begleitenden und/oder abschließenden Erfolgskontrolle durch örtliche Erhebungen zu prüfen oder durch Beauftragte prüfen zu lassen. Zuwendungsempfänger ha</w:t>
      </w:r>
      <w:r>
        <w:rPr>
          <w:bCs/>
        </w:rPr>
        <w:t xml:space="preserve">ben </w:t>
      </w:r>
      <w:r w:rsidRPr="00593D7C">
        <w:rPr>
          <w:bCs/>
        </w:rPr>
        <w:t>die erforderlichen Unterlagen bereit zu halten und die notwendigen Auskünfte zu erteilen.</w:t>
      </w:r>
    </w:p>
    <w:p w14:paraId="46EE5FCE" w14:textId="77777777" w:rsidR="002353B4" w:rsidRPr="00593D7C" w:rsidRDefault="002353B4" w:rsidP="002353B4">
      <w:pPr>
        <w:spacing w:after="0" w:line="360" w:lineRule="auto"/>
        <w:rPr>
          <w:bCs/>
        </w:rPr>
      </w:pPr>
    </w:p>
    <w:p w14:paraId="41DE462A" w14:textId="77777777" w:rsidR="002353B4" w:rsidRPr="00593D7C" w:rsidRDefault="002353B4" w:rsidP="002353B4">
      <w:pPr>
        <w:spacing w:after="0" w:line="360" w:lineRule="auto"/>
        <w:rPr>
          <w:bCs/>
        </w:rPr>
      </w:pPr>
      <w:r w:rsidRPr="00593D7C">
        <w:rPr>
          <w:bCs/>
        </w:rPr>
        <w:t>Die Einsichts- und Prüfrechte stehen neben der Bewilligungsbehörde auch dem Landes</w:t>
      </w:r>
      <w:r w:rsidR="00A13F50">
        <w:rPr>
          <w:bCs/>
        </w:rPr>
        <w:softHyphen/>
      </w:r>
      <w:r w:rsidRPr="00593D7C">
        <w:rPr>
          <w:bCs/>
        </w:rPr>
        <w:t>rechnungshof Baden-Württemberg zu.</w:t>
      </w:r>
    </w:p>
    <w:p w14:paraId="07369B6B" w14:textId="77777777" w:rsidR="002353B4" w:rsidRPr="006F2EA5" w:rsidRDefault="002353B4" w:rsidP="002353B4">
      <w:pPr>
        <w:spacing w:after="0" w:line="360" w:lineRule="auto"/>
        <w:rPr>
          <w:bCs/>
          <w:color w:val="FF0000"/>
        </w:rPr>
      </w:pPr>
    </w:p>
    <w:p w14:paraId="54F50966" w14:textId="77777777" w:rsidR="002353B4" w:rsidRPr="00593D7C" w:rsidRDefault="002353B4" w:rsidP="002353B4">
      <w:pPr>
        <w:pStyle w:val="berschrift1"/>
        <w:spacing w:before="0"/>
        <w:rPr>
          <w:b w:val="0"/>
        </w:rPr>
      </w:pPr>
      <w:r w:rsidRPr="00593D7C">
        <w:t>XI. Antragsunterlagen</w:t>
      </w:r>
    </w:p>
    <w:p w14:paraId="57766A5E" w14:textId="7BEF827B" w:rsidR="002353B4" w:rsidRDefault="002353B4" w:rsidP="002353B4">
      <w:pPr>
        <w:spacing w:after="0" w:line="360" w:lineRule="auto"/>
        <w:rPr>
          <w:bCs/>
        </w:rPr>
      </w:pPr>
      <w:r w:rsidRPr="00B5494A">
        <w:rPr>
          <w:bCs/>
        </w:rPr>
        <w:t xml:space="preserve">Für den Antrag muss </w:t>
      </w:r>
      <w:r w:rsidRPr="00B86A75">
        <w:rPr>
          <w:bCs/>
          <w:szCs w:val="24"/>
        </w:rPr>
        <w:t>das vorgesehene Antragsformular des Ministeriums verwendet und</w:t>
      </w:r>
      <w:r>
        <w:rPr>
          <w:bCs/>
          <w:szCs w:val="24"/>
        </w:rPr>
        <w:t xml:space="preserve"> müssen</w:t>
      </w:r>
      <w:r w:rsidRPr="00B86A75">
        <w:rPr>
          <w:bCs/>
          <w:szCs w:val="24"/>
        </w:rPr>
        <w:t xml:space="preserve"> die erforderlichen Erklärungen abgegeben werden. Zusätzlich ist die P</w:t>
      </w:r>
      <w:r w:rsidRPr="00B86A75">
        <w:rPr>
          <w:szCs w:val="24"/>
        </w:rPr>
        <w:t xml:space="preserve">rojektkonzeption, entsprechend der Hinweise im Antragsformular, in einem gesonderten Dokument auszuführen. </w:t>
      </w:r>
      <w:r w:rsidRPr="00B86A75">
        <w:rPr>
          <w:bCs/>
          <w:szCs w:val="24"/>
        </w:rPr>
        <w:t>Die wesentlichen Aspekte sind kurz und prägnant zu formulieren</w:t>
      </w:r>
      <w:r>
        <w:rPr>
          <w:bCs/>
        </w:rPr>
        <w:t xml:space="preserve">. Zulässig ist ein maximaler Umfang von 7 Seiten, exklusive einer Kurzübersicht der messbaren Ziele und einem Zeit-/Projektstrukturplan. </w:t>
      </w:r>
    </w:p>
    <w:p w14:paraId="74DB6998" w14:textId="77777777" w:rsidR="002353B4" w:rsidRPr="00B1029E" w:rsidRDefault="002353B4" w:rsidP="002353B4">
      <w:pPr>
        <w:spacing w:after="0" w:line="360" w:lineRule="auto"/>
        <w:rPr>
          <w:bCs/>
        </w:rPr>
      </w:pPr>
    </w:p>
    <w:p w14:paraId="206ED712" w14:textId="77777777" w:rsidR="002353B4" w:rsidRPr="003A2DB4" w:rsidRDefault="002353B4" w:rsidP="002353B4">
      <w:pPr>
        <w:pStyle w:val="berschrift1"/>
        <w:spacing w:before="0"/>
        <w:rPr>
          <w:b w:val="0"/>
        </w:rPr>
      </w:pPr>
      <w:r w:rsidRPr="003A2DB4">
        <w:t xml:space="preserve">XII. Termine: </w:t>
      </w:r>
    </w:p>
    <w:p w14:paraId="573D81EA" w14:textId="3CEAE33D" w:rsidR="002353B4" w:rsidRPr="00ED76DE" w:rsidRDefault="002353B4" w:rsidP="002353B4">
      <w:pPr>
        <w:spacing w:after="0" w:line="360" w:lineRule="auto"/>
        <w:rPr>
          <w:bCs/>
          <w:highlight w:val="yellow"/>
        </w:rPr>
      </w:pPr>
      <w:r w:rsidRPr="00593D7C">
        <w:rPr>
          <w:bCs/>
        </w:rPr>
        <w:t xml:space="preserve">Der </w:t>
      </w:r>
      <w:r w:rsidRPr="00D66A79">
        <w:rPr>
          <w:bCs/>
          <w:color w:val="000000" w:themeColor="text1"/>
        </w:rPr>
        <w:t xml:space="preserve">Antrag </w:t>
      </w:r>
      <w:r w:rsidRPr="008C1FED">
        <w:rPr>
          <w:bCs/>
          <w:color w:val="000000" w:themeColor="text1"/>
        </w:rPr>
        <w:t xml:space="preserve">muss bis </w:t>
      </w:r>
      <w:r w:rsidR="008C1FED" w:rsidRPr="008C1FED">
        <w:rPr>
          <w:bCs/>
          <w:color w:val="000000" w:themeColor="text1"/>
        </w:rPr>
        <w:t xml:space="preserve">Montag, </w:t>
      </w:r>
      <w:r w:rsidR="00624BC8">
        <w:rPr>
          <w:bCs/>
          <w:color w:val="000000" w:themeColor="text1"/>
        </w:rPr>
        <w:t>20</w:t>
      </w:r>
      <w:bookmarkStart w:id="0" w:name="_GoBack"/>
      <w:bookmarkEnd w:id="0"/>
      <w:r w:rsidR="0023791B" w:rsidRPr="008C1FED">
        <w:rPr>
          <w:bCs/>
          <w:color w:val="000000" w:themeColor="text1"/>
        </w:rPr>
        <w:t xml:space="preserve">. </w:t>
      </w:r>
      <w:r w:rsidR="008C1FED" w:rsidRPr="008C1FED">
        <w:rPr>
          <w:bCs/>
          <w:color w:val="000000" w:themeColor="text1"/>
        </w:rPr>
        <w:t>März</w:t>
      </w:r>
      <w:r w:rsidRPr="008C1FED">
        <w:rPr>
          <w:bCs/>
          <w:color w:val="000000" w:themeColor="text1"/>
        </w:rPr>
        <w:t xml:space="preserve"> 202</w:t>
      </w:r>
      <w:r w:rsidR="0023791B" w:rsidRPr="008C1FED">
        <w:rPr>
          <w:bCs/>
          <w:color w:val="000000" w:themeColor="text1"/>
        </w:rPr>
        <w:t>3</w:t>
      </w:r>
      <w:r w:rsidRPr="008C1FED">
        <w:rPr>
          <w:bCs/>
          <w:color w:val="000000" w:themeColor="text1"/>
        </w:rPr>
        <w:t xml:space="preserve"> vollstän</w:t>
      </w:r>
      <w:r w:rsidRPr="00D66A79">
        <w:rPr>
          <w:bCs/>
          <w:color w:val="000000" w:themeColor="text1"/>
        </w:rPr>
        <w:t>dig und r</w:t>
      </w:r>
      <w:r w:rsidRPr="00593D7C">
        <w:rPr>
          <w:bCs/>
        </w:rPr>
        <w:t xml:space="preserve">echtsverbindlich unterschrieben </w:t>
      </w:r>
      <w:r>
        <w:rPr>
          <w:bCs/>
        </w:rPr>
        <w:t xml:space="preserve">als elektronisches Dokument </w:t>
      </w:r>
      <w:r w:rsidRPr="00593D7C">
        <w:rPr>
          <w:bCs/>
        </w:rPr>
        <w:t>beim Ministerium für Wirtschaft, Arbeit und Tourismus Baden-Württemberg</w:t>
      </w:r>
      <w:r>
        <w:rPr>
          <w:bCs/>
        </w:rPr>
        <w:t xml:space="preserve"> </w:t>
      </w:r>
      <w:r w:rsidRPr="00593D7C">
        <w:rPr>
          <w:bCs/>
        </w:rPr>
        <w:t xml:space="preserve">per E-Mail </w:t>
      </w:r>
      <w:r>
        <w:rPr>
          <w:bCs/>
          <w:color w:val="000000" w:themeColor="text1"/>
        </w:rPr>
        <w:t xml:space="preserve">bei </w:t>
      </w:r>
      <w:hyperlink r:id="rId12" w:history="1">
        <w:r w:rsidR="009E0052" w:rsidRPr="00523A0F">
          <w:rPr>
            <w:rStyle w:val="Hyperlink"/>
            <w:bCs/>
          </w:rPr>
          <w:t>Foerderaufruf-Weiterbildungs</w:t>
        </w:r>
        <w:r w:rsidR="009E0052" w:rsidRPr="00523A0F">
          <w:rPr>
            <w:rStyle w:val="Hyperlink"/>
            <w:bCs/>
          </w:rPr>
          <w:softHyphen/>
          <w:t>projekte@wm.bwl.de</w:t>
        </w:r>
      </w:hyperlink>
      <w:r w:rsidR="009E0052">
        <w:rPr>
          <w:rStyle w:val="Hyperlink"/>
          <w:bCs/>
          <w:color w:val="auto"/>
          <w:u w:val="none"/>
        </w:rPr>
        <w:t xml:space="preserve"> </w:t>
      </w:r>
      <w:r w:rsidRPr="00593D7C">
        <w:rPr>
          <w:bCs/>
        </w:rPr>
        <w:t>eingegangen sein</w:t>
      </w:r>
      <w:r w:rsidRPr="00ED76DE">
        <w:rPr>
          <w:bCs/>
        </w:rPr>
        <w:t xml:space="preserve">. </w:t>
      </w:r>
    </w:p>
    <w:p w14:paraId="6DADC692" w14:textId="77777777" w:rsidR="002353B4" w:rsidRPr="006F2EA5" w:rsidRDefault="002353B4" w:rsidP="002353B4">
      <w:pPr>
        <w:spacing w:after="0" w:line="360" w:lineRule="auto"/>
        <w:rPr>
          <w:color w:val="FF0000"/>
        </w:rPr>
      </w:pPr>
    </w:p>
    <w:p w14:paraId="73230066" w14:textId="77777777" w:rsidR="0067551E" w:rsidRDefault="0067551E">
      <w:pPr>
        <w:rPr>
          <w:rFonts w:eastAsiaTheme="majorEastAsia" w:cstheme="majorBidi"/>
          <w:b/>
          <w:szCs w:val="32"/>
          <w:u w:val="single"/>
        </w:rPr>
      </w:pPr>
      <w:r>
        <w:br w:type="page"/>
      </w:r>
    </w:p>
    <w:p w14:paraId="3EA7C3B4" w14:textId="16631B82" w:rsidR="002353B4" w:rsidRPr="00F7279A" w:rsidRDefault="002353B4" w:rsidP="002353B4">
      <w:pPr>
        <w:pStyle w:val="berschrift1"/>
        <w:spacing w:before="0"/>
      </w:pPr>
      <w:r w:rsidRPr="00F7279A">
        <w:lastRenderedPageBreak/>
        <w:t>XIII. Kontakt</w:t>
      </w:r>
    </w:p>
    <w:p w14:paraId="450BA330" w14:textId="632110D6" w:rsidR="002353B4" w:rsidRPr="008C1FED" w:rsidRDefault="002353B4" w:rsidP="002353B4">
      <w:pPr>
        <w:spacing w:after="0" w:line="360" w:lineRule="auto"/>
        <w:rPr>
          <w:bCs/>
        </w:rPr>
      </w:pPr>
      <w:r w:rsidRPr="006F2EA5">
        <w:rPr>
          <w:bCs/>
        </w:rPr>
        <w:t>Im Ministerium für Wirtschaft, Arbeit und Tourismus Baden-Württemberg, Referat 23 - Berufliche Weiterbildung,</w:t>
      </w:r>
      <w:r>
        <w:rPr>
          <w:bCs/>
        </w:rPr>
        <w:t xml:space="preserve"> Schlossplatz 4, 70173 Stuttgart,</w:t>
      </w:r>
      <w:r w:rsidRPr="006F2EA5">
        <w:rPr>
          <w:bCs/>
        </w:rPr>
        <w:t xml:space="preserve"> stehen folgende </w:t>
      </w:r>
      <w:r w:rsidRPr="008C1FED">
        <w:rPr>
          <w:bCs/>
        </w:rPr>
        <w:t>Ansprech</w:t>
      </w:r>
      <w:r w:rsidR="00A13F50" w:rsidRPr="008C1FED">
        <w:rPr>
          <w:bCs/>
        </w:rPr>
        <w:softHyphen/>
      </w:r>
      <w:r w:rsidR="008C1FED">
        <w:rPr>
          <w:bCs/>
        </w:rPr>
        <w:t>partner</w:t>
      </w:r>
      <w:r w:rsidR="00B0776D">
        <w:rPr>
          <w:bCs/>
        </w:rPr>
        <w:t>/Ansprechpartneri</w:t>
      </w:r>
      <w:r w:rsidRPr="008C1FED">
        <w:rPr>
          <w:bCs/>
        </w:rPr>
        <w:t>nnen zur Verfügung:</w:t>
      </w:r>
    </w:p>
    <w:p w14:paraId="6A803743" w14:textId="77777777" w:rsidR="002353B4" w:rsidRPr="008C1FED" w:rsidRDefault="002353B4" w:rsidP="002353B4">
      <w:pPr>
        <w:spacing w:after="0" w:line="360" w:lineRule="atLeast"/>
        <w:rPr>
          <w:bCs/>
          <w:color w:val="000000" w:themeColor="text1"/>
        </w:rPr>
      </w:pPr>
    </w:p>
    <w:p w14:paraId="290133B2" w14:textId="5585DA62" w:rsidR="002353B4" w:rsidRPr="008C1FED" w:rsidRDefault="008C1FED" w:rsidP="002353B4">
      <w:pPr>
        <w:pStyle w:val="Listenabsatz"/>
        <w:spacing w:line="360" w:lineRule="atLeast"/>
        <w:rPr>
          <w:bCs/>
          <w:color w:val="000000" w:themeColor="text1"/>
        </w:rPr>
      </w:pPr>
      <w:r w:rsidRPr="008C1FED">
        <w:rPr>
          <w:bCs/>
          <w:color w:val="000000" w:themeColor="text1"/>
        </w:rPr>
        <w:t>Alexander Thum</w:t>
      </w:r>
    </w:p>
    <w:p w14:paraId="2E28F12E" w14:textId="1AC8511E" w:rsidR="002353B4" w:rsidRPr="008C1FED" w:rsidRDefault="008C1FED" w:rsidP="002353B4">
      <w:pPr>
        <w:pStyle w:val="Listenabsatz"/>
        <w:spacing w:line="360" w:lineRule="atLeast"/>
        <w:rPr>
          <w:bCs/>
          <w:color w:val="000000" w:themeColor="text1"/>
        </w:rPr>
      </w:pPr>
      <w:r w:rsidRPr="008C1FED">
        <w:rPr>
          <w:bCs/>
          <w:color w:val="000000" w:themeColor="text1"/>
        </w:rPr>
        <w:t>Telefon: 0711 / 123 – 2213</w:t>
      </w:r>
    </w:p>
    <w:p w14:paraId="73B9506B" w14:textId="4362C1BA" w:rsidR="002353B4" w:rsidRPr="008C1FED" w:rsidRDefault="002353B4" w:rsidP="002353B4">
      <w:pPr>
        <w:pStyle w:val="Listenabsatz"/>
        <w:spacing w:line="360" w:lineRule="atLeast"/>
        <w:rPr>
          <w:bCs/>
          <w:color w:val="000000" w:themeColor="text1"/>
        </w:rPr>
      </w:pPr>
      <w:r w:rsidRPr="008C1FED">
        <w:rPr>
          <w:bCs/>
          <w:color w:val="000000" w:themeColor="text1"/>
        </w:rPr>
        <w:t xml:space="preserve">E-Mail: </w:t>
      </w:r>
      <w:hyperlink r:id="rId13" w:history="1">
        <w:r w:rsidR="008C1FED" w:rsidRPr="008C1FED">
          <w:rPr>
            <w:rStyle w:val="Hyperlink"/>
            <w:rFonts w:eastAsia="Times"/>
            <w:bCs/>
          </w:rPr>
          <w:t>Alexander.Thum@wm.bwl.de</w:t>
        </w:r>
      </w:hyperlink>
      <w:r w:rsidRPr="008C1FED">
        <w:rPr>
          <w:bCs/>
          <w:color w:val="000000" w:themeColor="text1"/>
        </w:rPr>
        <w:t xml:space="preserve"> </w:t>
      </w:r>
    </w:p>
    <w:p w14:paraId="274F097D" w14:textId="77777777" w:rsidR="002353B4" w:rsidRPr="008C1FED" w:rsidRDefault="002353B4" w:rsidP="002353B4">
      <w:pPr>
        <w:pStyle w:val="Listenabsatz"/>
        <w:spacing w:line="360" w:lineRule="atLeast"/>
        <w:rPr>
          <w:bCs/>
          <w:color w:val="000000" w:themeColor="text1"/>
        </w:rPr>
      </w:pPr>
    </w:p>
    <w:p w14:paraId="1E2BDA8D" w14:textId="77777777" w:rsidR="002353B4" w:rsidRPr="008C1FED" w:rsidRDefault="002353B4" w:rsidP="002353B4">
      <w:pPr>
        <w:pStyle w:val="Listenabsatz"/>
        <w:spacing w:line="360" w:lineRule="atLeast"/>
        <w:rPr>
          <w:bCs/>
          <w:color w:val="000000" w:themeColor="text1"/>
        </w:rPr>
      </w:pPr>
      <w:r w:rsidRPr="008C1FED">
        <w:rPr>
          <w:bCs/>
          <w:color w:val="000000" w:themeColor="text1"/>
        </w:rPr>
        <w:t>Isabelle von Wolff</w:t>
      </w:r>
    </w:p>
    <w:p w14:paraId="136C1A68" w14:textId="77777777" w:rsidR="002353B4" w:rsidRPr="008C1FED" w:rsidRDefault="002353B4" w:rsidP="002353B4">
      <w:pPr>
        <w:pStyle w:val="Listenabsatz"/>
        <w:spacing w:line="360" w:lineRule="atLeast"/>
        <w:rPr>
          <w:bCs/>
          <w:color w:val="000000" w:themeColor="text1"/>
        </w:rPr>
      </w:pPr>
      <w:r w:rsidRPr="008C1FED">
        <w:rPr>
          <w:bCs/>
          <w:color w:val="000000" w:themeColor="text1"/>
        </w:rPr>
        <w:t>Telefon: 0711 / 123 – 2214</w:t>
      </w:r>
    </w:p>
    <w:p w14:paraId="353DD0B0" w14:textId="3EAED06A" w:rsidR="002353B4" w:rsidRPr="00085113" w:rsidRDefault="002353B4" w:rsidP="002353B4">
      <w:pPr>
        <w:pStyle w:val="Listenabsatz"/>
        <w:spacing w:line="360" w:lineRule="atLeast"/>
        <w:rPr>
          <w:bCs/>
          <w:color w:val="000000" w:themeColor="text1"/>
        </w:rPr>
      </w:pPr>
      <w:r w:rsidRPr="008C1FED">
        <w:rPr>
          <w:bCs/>
          <w:color w:val="000000" w:themeColor="text1"/>
        </w:rPr>
        <w:t xml:space="preserve">E-Mail: </w:t>
      </w:r>
      <w:hyperlink r:id="rId14" w:history="1">
        <w:r w:rsidRPr="008C1FED">
          <w:rPr>
            <w:rStyle w:val="Hyperlink"/>
            <w:rFonts w:eastAsia="Times"/>
            <w:bCs/>
          </w:rPr>
          <w:t>Isabelle.vonWolff@wm.bwl.de</w:t>
        </w:r>
      </w:hyperlink>
      <w:r>
        <w:rPr>
          <w:bCs/>
          <w:color w:val="000000" w:themeColor="text1"/>
        </w:rPr>
        <w:t xml:space="preserve"> </w:t>
      </w:r>
    </w:p>
    <w:p w14:paraId="1F7BBFAA" w14:textId="77777777" w:rsidR="002353B4" w:rsidRPr="0027028A" w:rsidRDefault="002353B4" w:rsidP="002353B4">
      <w:pPr>
        <w:spacing w:after="0" w:line="360" w:lineRule="auto"/>
        <w:rPr>
          <w:bCs/>
          <w:color w:val="FF0000"/>
        </w:rPr>
      </w:pPr>
    </w:p>
    <w:p w14:paraId="69749A6C" w14:textId="537E5629" w:rsidR="002353B4" w:rsidRDefault="002353B4" w:rsidP="002353B4">
      <w:pPr>
        <w:spacing w:after="0" w:line="360" w:lineRule="atLeast"/>
      </w:pPr>
      <w:r w:rsidRPr="006F2EA5">
        <w:t xml:space="preserve">Weitere Informationen finden Sie unter: </w:t>
      </w:r>
      <w:r w:rsidRPr="006F2EA5">
        <w:br/>
      </w:r>
      <w:hyperlink r:id="rId15" w:history="1">
        <w:r w:rsidRPr="008D6859">
          <w:rPr>
            <w:rStyle w:val="Hyperlink"/>
          </w:rPr>
          <w:t>www.wm.baden-wuerttemberg.de</w:t>
        </w:r>
      </w:hyperlink>
      <w:r>
        <w:t xml:space="preserve"> </w:t>
      </w:r>
      <w:r w:rsidRPr="006F2EA5">
        <w:t xml:space="preserve"> </w:t>
      </w:r>
    </w:p>
    <w:p w14:paraId="39550DE2" w14:textId="77777777" w:rsidR="00F7279A" w:rsidRPr="002444B1" w:rsidRDefault="00F7279A" w:rsidP="009E4086">
      <w:pPr>
        <w:spacing w:after="0"/>
        <w:rPr>
          <w:rFonts w:cs="Arial"/>
          <w:szCs w:val="24"/>
        </w:rPr>
      </w:pPr>
    </w:p>
    <w:sectPr w:rsidR="00F7279A" w:rsidRPr="002444B1" w:rsidSect="00AF2C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9058" w14:textId="77777777" w:rsidR="00F7279A" w:rsidRDefault="00F7279A" w:rsidP="00F7279A">
      <w:pPr>
        <w:spacing w:after="0" w:line="240" w:lineRule="auto"/>
      </w:pPr>
      <w:r>
        <w:separator/>
      </w:r>
    </w:p>
  </w:endnote>
  <w:endnote w:type="continuationSeparator" w:id="0">
    <w:p w14:paraId="7AB71B25" w14:textId="77777777" w:rsidR="00F7279A" w:rsidRDefault="00F7279A" w:rsidP="00F7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5A87" w14:textId="77777777" w:rsidR="002578B4" w:rsidRDefault="002578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02746136"/>
      <w:docPartObj>
        <w:docPartGallery w:val="Page Numbers (Bottom of Page)"/>
        <w:docPartUnique/>
      </w:docPartObj>
    </w:sdtPr>
    <w:sdtEndPr/>
    <w:sdtContent>
      <w:p w14:paraId="0E0DCF2D" w14:textId="3C12D676" w:rsidR="003476D7" w:rsidRPr="003476D7" w:rsidRDefault="003476D7">
        <w:pPr>
          <w:pStyle w:val="Fuzeile"/>
          <w:jc w:val="center"/>
          <w:rPr>
            <w:sz w:val="20"/>
          </w:rPr>
        </w:pPr>
        <w:r w:rsidRPr="003476D7">
          <w:rPr>
            <w:sz w:val="20"/>
          </w:rPr>
          <w:fldChar w:fldCharType="begin"/>
        </w:r>
        <w:r w:rsidRPr="003476D7">
          <w:rPr>
            <w:sz w:val="20"/>
          </w:rPr>
          <w:instrText>PAGE   \* MERGEFORMAT</w:instrText>
        </w:r>
        <w:r w:rsidRPr="003476D7">
          <w:rPr>
            <w:sz w:val="20"/>
          </w:rPr>
          <w:fldChar w:fldCharType="separate"/>
        </w:r>
        <w:r w:rsidR="00624BC8">
          <w:rPr>
            <w:noProof/>
            <w:sz w:val="20"/>
          </w:rPr>
          <w:t>8</w:t>
        </w:r>
        <w:r w:rsidRPr="003476D7">
          <w:rPr>
            <w:sz w:val="20"/>
          </w:rPr>
          <w:fldChar w:fldCharType="end"/>
        </w:r>
      </w:p>
    </w:sdtContent>
  </w:sdt>
  <w:p w14:paraId="43E87753" w14:textId="41AAA737" w:rsidR="002578B4" w:rsidRPr="003476D7" w:rsidRDefault="002578B4" w:rsidP="003476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27918" w14:textId="77777777" w:rsidR="002578B4" w:rsidRDefault="002578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CFFB6" w14:textId="77777777" w:rsidR="00F7279A" w:rsidRDefault="00F7279A" w:rsidP="00F7279A">
      <w:pPr>
        <w:spacing w:after="0" w:line="240" w:lineRule="auto"/>
      </w:pPr>
      <w:r>
        <w:separator/>
      </w:r>
    </w:p>
  </w:footnote>
  <w:footnote w:type="continuationSeparator" w:id="0">
    <w:p w14:paraId="23262E30" w14:textId="77777777" w:rsidR="00F7279A" w:rsidRDefault="00F7279A" w:rsidP="00F7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A859" w14:textId="77777777" w:rsidR="002578B4" w:rsidRDefault="002578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E7FE" w14:textId="77777777" w:rsidR="002578B4" w:rsidRDefault="002578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43C8" w14:textId="77777777" w:rsidR="00E53CC0" w:rsidRDefault="00624BC8">
    <w:pPr>
      <w:pStyle w:val="Fuzeile"/>
      <w:spacing w:after="1000" w:line="240" w:lineRule="exact"/>
      <w:jc w:val="center"/>
      <w:rPr>
        <w:caps/>
        <w:sz w:val="16"/>
      </w:rPr>
    </w:pPr>
  </w:p>
  <w:p w14:paraId="60E63C00" w14:textId="77777777" w:rsidR="00E53CC0" w:rsidRDefault="00B1029E">
    <w:pPr>
      <w:pStyle w:val="Fuzeile"/>
      <w:spacing w:line="240" w:lineRule="exact"/>
      <w:jc w:val="center"/>
      <w:rPr>
        <w:b/>
        <w:caps/>
        <w:sz w:val="16"/>
      </w:rPr>
    </w:pPr>
    <w:r>
      <w:rPr>
        <w:b/>
        <w:caps/>
        <w:sz w:val="16"/>
      </w:rPr>
      <w:t>Finanzministerium</w:t>
    </w:r>
  </w:p>
  <w:p w14:paraId="7B98BF03" w14:textId="77777777" w:rsidR="00E53CC0" w:rsidRDefault="00B1029E">
    <w:pPr>
      <w:pStyle w:val="Fuzeile"/>
      <w:spacing w:line="240" w:lineRule="exact"/>
      <w:jc w:val="center"/>
      <w:rPr>
        <w:sz w:val="16"/>
      </w:rPr>
    </w:pPr>
    <w:r>
      <w:rPr>
        <w:b/>
        <w:caps/>
        <w:sz w:val="16"/>
      </w:rPr>
      <w:t>pressestelle der landesregierung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037"/>
    <w:multiLevelType w:val="hybridMultilevel"/>
    <w:tmpl w:val="AE3CB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6A1"/>
    <w:multiLevelType w:val="hybridMultilevel"/>
    <w:tmpl w:val="5F26ABD4"/>
    <w:lvl w:ilvl="0" w:tplc="A28A27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0799"/>
    <w:multiLevelType w:val="hybridMultilevel"/>
    <w:tmpl w:val="6400A9B0"/>
    <w:lvl w:ilvl="0" w:tplc="322875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712AB"/>
    <w:multiLevelType w:val="hybridMultilevel"/>
    <w:tmpl w:val="C04A78CC"/>
    <w:lvl w:ilvl="0" w:tplc="B3F2DD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7A3F"/>
    <w:multiLevelType w:val="hybridMultilevel"/>
    <w:tmpl w:val="DDF47846"/>
    <w:lvl w:ilvl="0" w:tplc="958A6F2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2DC0"/>
    <w:multiLevelType w:val="hybridMultilevel"/>
    <w:tmpl w:val="C2AE1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B3A5F"/>
    <w:multiLevelType w:val="hybridMultilevel"/>
    <w:tmpl w:val="2A2AE88A"/>
    <w:lvl w:ilvl="0" w:tplc="A3CC3A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BE4EE2"/>
    <w:multiLevelType w:val="hybridMultilevel"/>
    <w:tmpl w:val="154ECE7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2B5545"/>
    <w:multiLevelType w:val="hybridMultilevel"/>
    <w:tmpl w:val="23CCCF50"/>
    <w:lvl w:ilvl="0" w:tplc="B486EA4C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69"/>
    <w:rsid w:val="00016A2C"/>
    <w:rsid w:val="000409F2"/>
    <w:rsid w:val="000855EA"/>
    <w:rsid w:val="000A5801"/>
    <w:rsid w:val="000B23E7"/>
    <w:rsid w:val="000C3EA5"/>
    <w:rsid w:val="000C616A"/>
    <w:rsid w:val="000C66A6"/>
    <w:rsid w:val="00105069"/>
    <w:rsid w:val="00126283"/>
    <w:rsid w:val="00161212"/>
    <w:rsid w:val="001B6FDF"/>
    <w:rsid w:val="00200AFE"/>
    <w:rsid w:val="002120F6"/>
    <w:rsid w:val="0021343A"/>
    <w:rsid w:val="002353B4"/>
    <w:rsid w:val="0023791B"/>
    <w:rsid w:val="002444B1"/>
    <w:rsid w:val="002578B4"/>
    <w:rsid w:val="00261466"/>
    <w:rsid w:val="003476D7"/>
    <w:rsid w:val="00380BCF"/>
    <w:rsid w:val="00382161"/>
    <w:rsid w:val="00384A5F"/>
    <w:rsid w:val="003E48F3"/>
    <w:rsid w:val="0047594C"/>
    <w:rsid w:val="004D4C92"/>
    <w:rsid w:val="004E5EFD"/>
    <w:rsid w:val="00506AFB"/>
    <w:rsid w:val="005235F8"/>
    <w:rsid w:val="00550DB6"/>
    <w:rsid w:val="00555168"/>
    <w:rsid w:val="0056499E"/>
    <w:rsid w:val="005719EC"/>
    <w:rsid w:val="005C3A83"/>
    <w:rsid w:val="005D0693"/>
    <w:rsid w:val="005D50DF"/>
    <w:rsid w:val="005E4398"/>
    <w:rsid w:val="00624BC8"/>
    <w:rsid w:val="006351BA"/>
    <w:rsid w:val="006529B7"/>
    <w:rsid w:val="00655525"/>
    <w:rsid w:val="00666A5B"/>
    <w:rsid w:val="0067551E"/>
    <w:rsid w:val="006D40D3"/>
    <w:rsid w:val="007147E9"/>
    <w:rsid w:val="00753F6F"/>
    <w:rsid w:val="0075400B"/>
    <w:rsid w:val="00775424"/>
    <w:rsid w:val="007B75FE"/>
    <w:rsid w:val="0080012A"/>
    <w:rsid w:val="008618D4"/>
    <w:rsid w:val="00870CA9"/>
    <w:rsid w:val="00873BBF"/>
    <w:rsid w:val="00875C9A"/>
    <w:rsid w:val="008941AD"/>
    <w:rsid w:val="008B44D3"/>
    <w:rsid w:val="008C1FED"/>
    <w:rsid w:val="008C31AF"/>
    <w:rsid w:val="008D089C"/>
    <w:rsid w:val="008D54E2"/>
    <w:rsid w:val="009961A2"/>
    <w:rsid w:val="009C1395"/>
    <w:rsid w:val="009E0052"/>
    <w:rsid w:val="009E4086"/>
    <w:rsid w:val="00A06FCA"/>
    <w:rsid w:val="00A13F50"/>
    <w:rsid w:val="00A56199"/>
    <w:rsid w:val="00A72583"/>
    <w:rsid w:val="00A8218A"/>
    <w:rsid w:val="00A90218"/>
    <w:rsid w:val="00AD2E89"/>
    <w:rsid w:val="00AF2C2B"/>
    <w:rsid w:val="00B0249D"/>
    <w:rsid w:val="00B0776D"/>
    <w:rsid w:val="00B1029E"/>
    <w:rsid w:val="00B41C31"/>
    <w:rsid w:val="00B6341B"/>
    <w:rsid w:val="00BA1130"/>
    <w:rsid w:val="00BB3E4F"/>
    <w:rsid w:val="00BF6EAA"/>
    <w:rsid w:val="00C40D08"/>
    <w:rsid w:val="00C5452B"/>
    <w:rsid w:val="00D92029"/>
    <w:rsid w:val="00DC73DE"/>
    <w:rsid w:val="00ED3D6D"/>
    <w:rsid w:val="00F445D0"/>
    <w:rsid w:val="00F7279A"/>
    <w:rsid w:val="00F93C78"/>
    <w:rsid w:val="00FB0A86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9AACCE0"/>
  <w15:chartTrackingRefBased/>
  <w15:docId w15:val="{4D115D7E-2AE6-4410-B9A4-7D20A96B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79A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341B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7279A"/>
    <w:pPr>
      <w:tabs>
        <w:tab w:val="left" w:pos="1021"/>
        <w:tab w:val="left" w:pos="2523"/>
        <w:tab w:val="center" w:pos="4536"/>
        <w:tab w:val="right" w:pos="9072"/>
      </w:tabs>
      <w:spacing w:after="0" w:line="380" w:lineRule="exact"/>
    </w:pPr>
    <w:rPr>
      <w:rFonts w:eastAsia="Times" w:cs="Times New Roman"/>
      <w:kern w:val="20"/>
      <w:sz w:val="1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7279A"/>
    <w:rPr>
      <w:rFonts w:ascii="Arial" w:eastAsia="Times" w:hAnsi="Arial" w:cs="Times New Roman"/>
      <w:kern w:val="20"/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7279A"/>
    <w:pPr>
      <w:tabs>
        <w:tab w:val="right" w:pos="624"/>
        <w:tab w:val="right" w:pos="964"/>
        <w:tab w:val="left" w:pos="1021"/>
        <w:tab w:val="left" w:pos="2523"/>
      </w:tabs>
      <w:spacing w:after="0" w:line="380" w:lineRule="exact"/>
    </w:pPr>
    <w:rPr>
      <w:rFonts w:eastAsia="Times" w:cs="Times New Roman"/>
      <w:b/>
      <w:kern w:val="20"/>
      <w:sz w:val="1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7279A"/>
    <w:rPr>
      <w:rFonts w:ascii="Arial" w:eastAsia="Times" w:hAnsi="Arial" w:cs="Times New Roman"/>
      <w:b/>
      <w:kern w:val="20"/>
      <w:sz w:val="14"/>
      <w:szCs w:val="20"/>
      <w:lang w:eastAsia="de-DE"/>
    </w:rPr>
  </w:style>
  <w:style w:type="character" w:styleId="Hyperlink">
    <w:name w:val="Hyperlink"/>
    <w:basedOn w:val="Absatz-Standardschriftart"/>
    <w:rsid w:val="00F7279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7279A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character" w:styleId="Kommentarzeichen">
    <w:name w:val="annotation reference"/>
    <w:basedOn w:val="Absatz-Standardschriftart"/>
    <w:semiHidden/>
    <w:unhideWhenUsed/>
    <w:rsid w:val="00F7279A"/>
    <w:rPr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72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2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341B"/>
    <w:rPr>
      <w:rFonts w:ascii="Arial" w:eastAsiaTheme="majorEastAsia" w:hAnsi="Arial" w:cstheme="majorBidi"/>
      <w:b/>
      <w:sz w:val="24"/>
      <w:szCs w:val="32"/>
      <w:u w:val="single"/>
    </w:rPr>
  </w:style>
  <w:style w:type="paragraph" w:styleId="Sprechblasentext">
    <w:name w:val="Balloon Text"/>
    <w:basedOn w:val="Standard"/>
    <w:link w:val="SprechblasentextZchn"/>
    <w:semiHidden/>
    <w:rsid w:val="00D92029"/>
    <w:pPr>
      <w:tabs>
        <w:tab w:val="left" w:pos="1021"/>
        <w:tab w:val="left" w:pos="2523"/>
      </w:tabs>
      <w:spacing w:after="0" w:line="380" w:lineRule="exact"/>
    </w:pPr>
    <w:rPr>
      <w:rFonts w:ascii="Tahoma" w:eastAsia="Times" w:hAnsi="Tahoma" w:cs="Tahoma"/>
      <w:kern w:val="20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92029"/>
    <w:rPr>
      <w:rFonts w:ascii="Tahoma" w:eastAsia="Times" w:hAnsi="Tahoma" w:cs="Tahoma"/>
      <w:kern w:val="20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0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0D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0D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exander.Thum@wm.bwl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Foerderaufruf-Weiterbildungsprojekte@wm.bwl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m.baden-wuerttemberg.de/ds-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m.baden-wuerttemberg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m.baden-wuerttemberg.de/fileadmin/redaktion/m-wm/intern/Dateien_Downloads/Arbeit/Berufliche_Bildung/200420_F%C3%B6rderhinweise_zu_innovativen_Projekten_im_Bereich_der_beruflichen_Weiterbildung_in_BW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sabelle.vonWolff@wm.bwl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2FFF-4AA5-4FFD-9D6C-0463CFDB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1865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Wirth, Kristin (WM)</dc:creator>
  <cp:keywords/>
  <dc:description/>
  <cp:lastModifiedBy>Wirth, Kristin (WM)</cp:lastModifiedBy>
  <cp:revision>27</cp:revision>
  <cp:lastPrinted>2023-01-04T15:31:00Z</cp:lastPrinted>
  <dcterms:created xsi:type="dcterms:W3CDTF">2022-12-14T09:40:00Z</dcterms:created>
  <dcterms:modified xsi:type="dcterms:W3CDTF">2023-01-19T15:14:00Z</dcterms:modified>
</cp:coreProperties>
</file>