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47" w:rsidRDefault="00697647" w:rsidP="00697647">
      <w:pPr>
        <w:spacing w:line="360" w:lineRule="exact"/>
        <w:jc w:val="right"/>
      </w:pPr>
      <w:bookmarkStart w:id="0" w:name="_GoBack"/>
      <w:bookmarkEnd w:id="0"/>
      <w:r>
        <w:t xml:space="preserve">Anlage 2 </w:t>
      </w:r>
    </w:p>
    <w:p w:rsidR="00697647" w:rsidRDefault="00697647" w:rsidP="00697647">
      <w:pPr>
        <w:spacing w:line="360" w:lineRule="exact"/>
        <w:jc w:val="right"/>
      </w:pPr>
      <w:r>
        <w:t>(zu Nummer 10.3.2.2)</w:t>
      </w:r>
    </w:p>
    <w:p w:rsidR="00697647" w:rsidRDefault="00697647" w:rsidP="00697647">
      <w:pPr>
        <w:spacing w:line="340" w:lineRule="exact"/>
        <w:rPr>
          <w:b/>
        </w:rPr>
      </w:pPr>
    </w:p>
    <w:p w:rsidR="00697647" w:rsidRDefault="00697647" w:rsidP="00697647">
      <w:pPr>
        <w:spacing w:line="360" w:lineRule="exact"/>
        <w:jc w:val="center"/>
        <w:rPr>
          <w:b/>
        </w:rPr>
      </w:pPr>
      <w:r>
        <w:rPr>
          <w:b/>
        </w:rPr>
        <w:t>Beschaffung von Baumaschinen</w:t>
      </w:r>
    </w:p>
    <w:p w:rsidR="00697647" w:rsidRDefault="00697647" w:rsidP="00697647">
      <w:pPr>
        <w:spacing w:line="340" w:lineRule="exact"/>
        <w:rPr>
          <w:b/>
        </w:rPr>
      </w:pPr>
    </w:p>
    <w:p w:rsidR="00697647" w:rsidRDefault="00697647" w:rsidP="00697647">
      <w:pPr>
        <w:spacing w:line="360" w:lineRule="exact"/>
      </w:pPr>
      <w:r>
        <w:t xml:space="preserve">Die zu beschaffenden Baumaschinen sollen grundsätzlich mindestens die in der nachfolgenden Tabelle aufgeführten Emissionsanforderungen einhalten. </w:t>
      </w:r>
    </w:p>
    <w:p w:rsidR="00697647" w:rsidRDefault="00697647" w:rsidP="00697647">
      <w:pPr>
        <w:spacing w:line="340" w:lineRule="exact"/>
      </w:pPr>
    </w:p>
    <w:p w:rsidR="00697647" w:rsidRDefault="00697647" w:rsidP="00697647">
      <w:pPr>
        <w:pStyle w:val="BW1Standard"/>
        <w:spacing w:line="340" w:lineRule="atLeast"/>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640"/>
        <w:gridCol w:w="2640"/>
        <w:gridCol w:w="2640"/>
      </w:tblGrid>
      <w:tr w:rsidR="00697647" w:rsidTr="00697647">
        <w:tc>
          <w:tcPr>
            <w:tcW w:w="1686"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Leistungsklasse</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Selbstzündung</w:t>
            </w:r>
          </w:p>
          <w:p w:rsidR="00697647" w:rsidRDefault="00697647">
            <w:pPr>
              <w:pStyle w:val="BW1Standard"/>
              <w:rPr>
                <w:lang w:eastAsia="en-US"/>
              </w:rPr>
            </w:pPr>
            <w:r>
              <w:rPr>
                <w:lang w:eastAsia="en-US"/>
              </w:rPr>
              <w:t>19 kW ≤ P &lt; 37 kW</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Selbstzündung</w:t>
            </w:r>
          </w:p>
          <w:p w:rsidR="00697647" w:rsidRDefault="00697647">
            <w:pPr>
              <w:pStyle w:val="BW1Standard"/>
              <w:rPr>
                <w:lang w:eastAsia="en-US"/>
              </w:rPr>
            </w:pPr>
            <w:r>
              <w:rPr>
                <w:lang w:eastAsia="en-US"/>
              </w:rPr>
              <w:t>37 kW ≤ P &lt; 56 kW</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Selbstzündung</w:t>
            </w:r>
          </w:p>
          <w:p w:rsidR="00697647" w:rsidRDefault="00697647">
            <w:pPr>
              <w:pStyle w:val="BW1Standard"/>
              <w:rPr>
                <w:lang w:eastAsia="en-US"/>
              </w:rPr>
            </w:pPr>
            <w:r>
              <w:rPr>
                <w:lang w:eastAsia="en-US"/>
              </w:rPr>
              <w:t>56 kW≤ P &lt; 560 kW</w:t>
            </w:r>
          </w:p>
        </w:tc>
      </w:tr>
      <w:tr w:rsidR="00697647" w:rsidTr="00697647">
        <w:tc>
          <w:tcPr>
            <w:tcW w:w="1686"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Anforderung</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Stufe IIIA der Richtlinie 97/68/EG</w:t>
            </w:r>
            <w:r>
              <w:rPr>
                <w:vertAlign w:val="superscript"/>
                <w:lang w:eastAsia="en-US"/>
              </w:rPr>
              <w:footnoteReference w:id="1"/>
            </w:r>
            <w:r>
              <w:rPr>
                <w:lang w:eastAsia="en-US"/>
              </w:rPr>
              <w:t xml:space="preserve"> und Nachrüstung mit einem Partikelminderungssystem </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Stufe IIIB der Richtlinie 97/68/EG oder Nachrüstung mit einem Partikelminderungssystem</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Stufe IV der Richtlinie 97/68/EG oder Nachrüstung mit einem Partikelminderungssystem</w:t>
            </w:r>
          </w:p>
        </w:tc>
      </w:tr>
      <w:tr w:rsidR="00697647" w:rsidTr="00697647">
        <w:tc>
          <w:tcPr>
            <w:tcW w:w="1686"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Neue Anforderungen ab</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1. Januar 2019:</w:t>
            </w:r>
          </w:p>
          <w:p w:rsidR="00697647" w:rsidRDefault="00697647">
            <w:pPr>
              <w:pStyle w:val="BW1Standard"/>
              <w:rPr>
                <w:lang w:eastAsia="en-US"/>
              </w:rPr>
            </w:pPr>
            <w:r>
              <w:rPr>
                <w:lang w:eastAsia="en-US"/>
              </w:rPr>
              <w:t>Stufe V der Verordnung (EU) 2016/1628 oder Nachrüstung mit einem Partikelminderungssystem</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1. Januar 2019:</w:t>
            </w:r>
          </w:p>
          <w:p w:rsidR="00697647" w:rsidRDefault="00697647">
            <w:pPr>
              <w:pStyle w:val="BW1Standard"/>
              <w:rPr>
                <w:lang w:eastAsia="en-US"/>
              </w:rPr>
            </w:pPr>
            <w:r>
              <w:rPr>
                <w:lang w:eastAsia="en-US"/>
              </w:rPr>
              <w:t>Stufe V der Verordnung (EU) 2016/1628 oder Nachrüstung mit einem Partikelminderungssystem</w:t>
            </w:r>
          </w:p>
        </w:tc>
        <w:tc>
          <w:tcPr>
            <w:tcW w:w="2640" w:type="dxa"/>
            <w:tcBorders>
              <w:top w:val="single" w:sz="4" w:space="0" w:color="auto"/>
              <w:left w:val="single" w:sz="4" w:space="0" w:color="auto"/>
              <w:bottom w:val="single" w:sz="4" w:space="0" w:color="auto"/>
              <w:right w:val="single" w:sz="4" w:space="0" w:color="auto"/>
            </w:tcBorders>
            <w:hideMark/>
          </w:tcPr>
          <w:p w:rsidR="00697647" w:rsidRDefault="00697647">
            <w:pPr>
              <w:pStyle w:val="BW1Standard"/>
              <w:rPr>
                <w:lang w:eastAsia="en-US"/>
              </w:rPr>
            </w:pPr>
            <w:r>
              <w:rPr>
                <w:lang w:eastAsia="en-US"/>
              </w:rPr>
              <w:t>1. Januar 2019 (für Leistungsklasse 56 kW ≤ P &lt; 130 kW ab 1. Januar 2020):</w:t>
            </w:r>
          </w:p>
          <w:p w:rsidR="00697647" w:rsidRDefault="00697647">
            <w:pPr>
              <w:pStyle w:val="BW1Standard"/>
              <w:rPr>
                <w:lang w:eastAsia="en-US"/>
              </w:rPr>
            </w:pPr>
            <w:r>
              <w:rPr>
                <w:lang w:eastAsia="en-US"/>
              </w:rPr>
              <w:t>Stufe V der Verordnung (EU) 2016/1628 oder Nachrüstung mit einem Partikelminderungssystem</w:t>
            </w:r>
          </w:p>
        </w:tc>
      </w:tr>
    </w:tbl>
    <w:p w:rsidR="00697647" w:rsidRDefault="00697647" w:rsidP="00697647">
      <w:pPr>
        <w:pStyle w:val="BW1Standard"/>
        <w:spacing w:line="340" w:lineRule="atLeast"/>
        <w:rPr>
          <w:lang w:eastAsia="en-US"/>
        </w:rPr>
      </w:pPr>
    </w:p>
    <w:p w:rsidR="00697647" w:rsidRDefault="00697647" w:rsidP="00697647">
      <w:pPr>
        <w:spacing w:line="360" w:lineRule="exact"/>
      </w:pPr>
      <w:r>
        <w:t>Zur Nachrüstung verwendete Partikelminderungssysteme müssen nach einer der folgenden Regelungen in der jeweils geltenden Fassung zertifiziert sein:</w:t>
      </w:r>
    </w:p>
    <w:p w:rsidR="00697647" w:rsidRDefault="00697647" w:rsidP="00697647">
      <w:pPr>
        <w:spacing w:line="340" w:lineRule="exact"/>
      </w:pPr>
    </w:p>
    <w:p w:rsidR="00697647" w:rsidRDefault="00697647" w:rsidP="00697647">
      <w:pPr>
        <w:pStyle w:val="Listenabsatz"/>
        <w:numPr>
          <w:ilvl w:val="0"/>
          <w:numId w:val="1"/>
        </w:numPr>
        <w:spacing w:line="360" w:lineRule="exact"/>
        <w:ind w:left="567" w:hanging="567"/>
      </w:pPr>
      <w:r>
        <w:t xml:space="preserve">Regelung Nummer 132 der Wirtschaftskommission der Vereinten Nationen für Europa (UN-ECE) - Prüfvorgaben für die Nachrüstung von Abgasnachbehandlungssystemen in der Fassung der ersten Änderung vom 3. </w:t>
      </w:r>
      <w:r>
        <w:lastRenderedPageBreak/>
        <w:t>Februar 2015 (REC-</w:t>
      </w:r>
      <w:proofErr w:type="spellStart"/>
      <w:r>
        <w:t>Retrofit</w:t>
      </w:r>
      <w:proofErr w:type="spellEnd"/>
      <w:r>
        <w:t xml:space="preserve"> Emission Control, Reduktionsstufe 01, Klasse I oder II);</w:t>
      </w:r>
    </w:p>
    <w:p w:rsidR="00697647" w:rsidRDefault="00697647" w:rsidP="00697647">
      <w:pPr>
        <w:pStyle w:val="Listenabsatz"/>
        <w:spacing w:line="340" w:lineRule="exact"/>
        <w:ind w:left="567"/>
      </w:pPr>
    </w:p>
    <w:p w:rsidR="00697647" w:rsidRDefault="00697647" w:rsidP="00697647">
      <w:pPr>
        <w:pStyle w:val="Listenabsatz"/>
        <w:numPr>
          <w:ilvl w:val="0"/>
          <w:numId w:val="1"/>
        </w:numPr>
        <w:spacing w:line="360" w:lineRule="exact"/>
        <w:ind w:left="567" w:hanging="567"/>
      </w:pPr>
      <w:r>
        <w:t>Anlage XXVII zur Straßenverkehrs-Zulassungs-Ordnung (StVZO);</w:t>
      </w:r>
    </w:p>
    <w:p w:rsidR="00697647" w:rsidRDefault="00697647" w:rsidP="00697647">
      <w:pPr>
        <w:pStyle w:val="Listenabsatz"/>
        <w:spacing w:line="340" w:lineRule="exact"/>
        <w:ind w:left="567"/>
      </w:pPr>
    </w:p>
    <w:p w:rsidR="00697647" w:rsidRDefault="00697647" w:rsidP="00697647">
      <w:pPr>
        <w:pStyle w:val="Listenabsatz"/>
        <w:numPr>
          <w:ilvl w:val="0"/>
          <w:numId w:val="1"/>
        </w:numPr>
        <w:spacing w:line="360" w:lineRule="exact"/>
        <w:ind w:left="567" w:hanging="567"/>
      </w:pPr>
      <w:r>
        <w:t>Technische Regeln für Gefahrstoffe (TRGS) 554;</w:t>
      </w:r>
    </w:p>
    <w:p w:rsidR="00697647" w:rsidRDefault="00697647" w:rsidP="00697647">
      <w:pPr>
        <w:pStyle w:val="Listenabsatz"/>
        <w:spacing w:line="340" w:lineRule="exact"/>
        <w:ind w:left="567"/>
      </w:pPr>
    </w:p>
    <w:p w:rsidR="00697647" w:rsidRDefault="00697647" w:rsidP="00697647">
      <w:pPr>
        <w:pStyle w:val="Listenabsatz"/>
        <w:numPr>
          <w:ilvl w:val="0"/>
          <w:numId w:val="1"/>
        </w:numPr>
        <w:spacing w:line="360" w:lineRule="exact"/>
        <w:ind w:left="567" w:hanging="567"/>
      </w:pPr>
      <w:r>
        <w:t>Gütesiegel des Schweizer VERT-Vereins;</w:t>
      </w:r>
    </w:p>
    <w:p w:rsidR="00697647" w:rsidRDefault="00697647" w:rsidP="00697647">
      <w:pPr>
        <w:pStyle w:val="Listenabsatz"/>
        <w:spacing w:line="340" w:lineRule="exact"/>
        <w:ind w:left="567"/>
      </w:pPr>
    </w:p>
    <w:p w:rsidR="00697647" w:rsidRDefault="00697647" w:rsidP="00697647">
      <w:pPr>
        <w:pStyle w:val="Listenabsatz"/>
        <w:numPr>
          <w:ilvl w:val="0"/>
          <w:numId w:val="1"/>
        </w:numPr>
        <w:spacing w:line="360" w:lineRule="exact"/>
        <w:ind w:left="567" w:hanging="567"/>
      </w:pPr>
      <w:r>
        <w:t>Qualitätssiegel des FAD (Förderkreis Abgasnachbehandlungstechnologien für Dieselmotoren);</w:t>
      </w:r>
    </w:p>
    <w:p w:rsidR="00697647" w:rsidRDefault="00697647" w:rsidP="00697647">
      <w:pPr>
        <w:pStyle w:val="Listenabsatz"/>
        <w:spacing w:line="360" w:lineRule="exact"/>
        <w:ind w:left="567"/>
      </w:pPr>
    </w:p>
    <w:p w:rsidR="00697647" w:rsidRDefault="00697647" w:rsidP="00697647">
      <w:pPr>
        <w:pStyle w:val="Listenabsatz"/>
        <w:numPr>
          <w:ilvl w:val="0"/>
          <w:numId w:val="1"/>
        </w:numPr>
        <w:spacing w:line="360" w:lineRule="exact"/>
        <w:ind w:left="567" w:hanging="567"/>
      </w:pPr>
      <w:r>
        <w:t>Anhang 4 Nummer 32 der Luftreinhalte-Verordnung der Schweiz (LRV) (Konformitätsbescheinigung nach der BAFU-Filterliste)</w:t>
      </w:r>
    </w:p>
    <w:p w:rsidR="00697647" w:rsidRDefault="00697647" w:rsidP="00697647">
      <w:pPr>
        <w:pStyle w:val="Listenabsatz"/>
        <w:spacing w:line="340" w:lineRule="exact"/>
        <w:ind w:left="567"/>
      </w:pPr>
    </w:p>
    <w:p w:rsidR="00697647" w:rsidRDefault="00697647" w:rsidP="00697647">
      <w:pPr>
        <w:pStyle w:val="Listenabsatz"/>
        <w:spacing w:line="360" w:lineRule="exact"/>
        <w:ind w:left="0"/>
      </w:pPr>
      <w:r>
        <w:t>oder gleichwertige Kriterien erfüllen.</w:t>
      </w:r>
    </w:p>
    <w:p w:rsidR="00460F54" w:rsidRDefault="00460F54"/>
    <w:sectPr w:rsidR="00460F54" w:rsidSect="008215E7">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F3" w:rsidRDefault="008878F3" w:rsidP="00697647">
      <w:pPr>
        <w:spacing w:line="240" w:lineRule="auto"/>
      </w:pPr>
      <w:r>
        <w:separator/>
      </w:r>
    </w:p>
  </w:endnote>
  <w:endnote w:type="continuationSeparator" w:id="0">
    <w:p w:rsidR="008878F3" w:rsidRDefault="008878F3" w:rsidP="00697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F3" w:rsidRDefault="008878F3" w:rsidP="00697647">
      <w:pPr>
        <w:spacing w:line="240" w:lineRule="auto"/>
      </w:pPr>
      <w:r>
        <w:separator/>
      </w:r>
    </w:p>
  </w:footnote>
  <w:footnote w:type="continuationSeparator" w:id="0">
    <w:p w:rsidR="008878F3" w:rsidRDefault="008878F3" w:rsidP="00697647">
      <w:pPr>
        <w:spacing w:line="240" w:lineRule="auto"/>
      </w:pPr>
      <w:r>
        <w:continuationSeparator/>
      </w:r>
    </w:p>
  </w:footnote>
  <w:footnote w:id="1">
    <w:p w:rsidR="00697647" w:rsidRDefault="00697647" w:rsidP="00697647">
      <w:pPr>
        <w:pStyle w:val="Funotentext"/>
        <w:rPr>
          <w:rFonts w:ascii="Tahoma" w:hAnsi="Tahoma" w:cs="Tahoma"/>
          <w:sz w:val="18"/>
          <w:szCs w:val="18"/>
        </w:rPr>
      </w:pPr>
      <w:r>
        <w:rPr>
          <w:rStyle w:val="Funotenzeichen"/>
          <w:rFonts w:ascii="Tahoma" w:hAnsi="Tahoma" w:cs="Tahoma"/>
          <w:color w:val="000000"/>
        </w:rPr>
        <w:footnoteRef/>
      </w:r>
      <w:r>
        <w:rPr>
          <w:rFonts w:ascii="Tahoma" w:hAnsi="Tahoma" w:cs="Tahoma"/>
          <w:color w:val="000000"/>
        </w:rPr>
        <w:t xml:space="preserve"> </w:t>
      </w:r>
      <w:r>
        <w:rPr>
          <w:rFonts w:ascii="Tahoma" w:hAnsi="Tahoma" w:cs="Tahoma"/>
          <w:sz w:val="18"/>
          <w:szCs w:val="18"/>
        </w:rPr>
        <w:t>Verordnung (EU) 2016/1628 des Europäischen Parlaments und des Rates vom 14. September 2016 über die Anforderungen in Bezug auf die Emissionsgrenzwerte für gasförmige Schadstoffe und luftverunreinigte Partikel und die Typengenehmigung für Verbrennungsmotoren für nicht für den Straßenverkehr bestimmte mobile Maschinen und Geräte, zur Änderung der Verordnung (EU) Nr. 1024/2012 und (EU) Nr. 167/2013 und zur Änderung und Aufhebung der Richtlinie 97/68/EG (ABl. L 252 vom 16. September 2016, S.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19637"/>
      <w:docPartObj>
        <w:docPartGallery w:val="Page Numbers (Top of Page)"/>
        <w:docPartUnique/>
      </w:docPartObj>
    </w:sdtPr>
    <w:sdtContent>
      <w:p w:rsidR="008215E7" w:rsidRDefault="008215E7">
        <w:pPr>
          <w:pStyle w:val="Kopfzeile"/>
          <w:jc w:val="center"/>
        </w:pPr>
        <w:r>
          <w:fldChar w:fldCharType="begin"/>
        </w:r>
        <w:r>
          <w:instrText>PAGE   \* MERGEFORMAT</w:instrText>
        </w:r>
        <w:r>
          <w:fldChar w:fldCharType="separate"/>
        </w:r>
        <w:r>
          <w:rPr>
            <w:noProof/>
          </w:rPr>
          <w:t>2</w:t>
        </w:r>
        <w:r>
          <w:fldChar w:fldCharType="end"/>
        </w:r>
      </w:p>
    </w:sdtContent>
  </w:sdt>
  <w:p w:rsidR="008215E7" w:rsidRDefault="008215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E05"/>
    <w:multiLevelType w:val="hybridMultilevel"/>
    <w:tmpl w:val="B78E3B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47"/>
    <w:rsid w:val="00460F54"/>
    <w:rsid w:val="004A4BEC"/>
    <w:rsid w:val="00697647"/>
    <w:rsid w:val="008215E7"/>
    <w:rsid w:val="00887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9E55-1595-4DC9-B0F9-BF8E9A2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647"/>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97647"/>
    <w:pPr>
      <w:spacing w:line="240" w:lineRule="auto"/>
    </w:pPr>
    <w:rPr>
      <w:sz w:val="20"/>
      <w:szCs w:val="20"/>
    </w:rPr>
  </w:style>
  <w:style w:type="character" w:customStyle="1" w:styleId="FunotentextZchn">
    <w:name w:val="Fußnotentext Zchn"/>
    <w:basedOn w:val="Absatz-Standardschriftart"/>
    <w:link w:val="Funotentext"/>
    <w:uiPriority w:val="99"/>
    <w:semiHidden/>
    <w:rsid w:val="00697647"/>
    <w:rPr>
      <w:rFonts w:ascii="Arial" w:eastAsia="Times New Roman" w:hAnsi="Arial" w:cs="Arial"/>
      <w:sz w:val="20"/>
      <w:szCs w:val="20"/>
      <w:lang w:eastAsia="de-DE"/>
    </w:rPr>
  </w:style>
  <w:style w:type="paragraph" w:styleId="Listenabsatz">
    <w:name w:val="List Paragraph"/>
    <w:basedOn w:val="Standard"/>
    <w:uiPriority w:val="34"/>
    <w:qFormat/>
    <w:rsid w:val="00697647"/>
    <w:pPr>
      <w:ind w:left="720"/>
      <w:contextualSpacing/>
    </w:pPr>
  </w:style>
  <w:style w:type="paragraph" w:customStyle="1" w:styleId="BW1Standard">
    <w:name w:val="BW_1Standard"/>
    <w:qFormat/>
    <w:rsid w:val="00697647"/>
    <w:pPr>
      <w:spacing w:after="0" w:line="360" w:lineRule="atLeast"/>
    </w:pPr>
    <w:rPr>
      <w:rFonts w:ascii="Arial" w:eastAsia="Times New Roman" w:hAnsi="Arial" w:cs="Arial"/>
      <w:kern w:val="20"/>
      <w:sz w:val="24"/>
      <w:szCs w:val="24"/>
      <w:lang w:eastAsia="de-DE"/>
    </w:rPr>
  </w:style>
  <w:style w:type="character" w:styleId="Funotenzeichen">
    <w:name w:val="footnote reference"/>
    <w:basedOn w:val="Absatz-Standardschriftart"/>
    <w:uiPriority w:val="99"/>
    <w:semiHidden/>
    <w:unhideWhenUsed/>
    <w:rsid w:val="00697647"/>
    <w:rPr>
      <w:vertAlign w:val="superscript"/>
    </w:rPr>
  </w:style>
  <w:style w:type="paragraph" w:styleId="Kopfzeile">
    <w:name w:val="header"/>
    <w:basedOn w:val="Standard"/>
    <w:link w:val="KopfzeileZchn"/>
    <w:uiPriority w:val="99"/>
    <w:unhideWhenUsed/>
    <w:rsid w:val="008215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15E7"/>
    <w:rPr>
      <w:rFonts w:ascii="Arial" w:eastAsia="Times New Roman" w:hAnsi="Arial" w:cs="Arial"/>
      <w:sz w:val="24"/>
      <w:szCs w:val="24"/>
      <w:lang w:eastAsia="de-DE"/>
    </w:rPr>
  </w:style>
  <w:style w:type="paragraph" w:styleId="Fuzeile">
    <w:name w:val="footer"/>
    <w:basedOn w:val="Standard"/>
    <w:link w:val="FuzeileZchn"/>
    <w:uiPriority w:val="99"/>
    <w:unhideWhenUsed/>
    <w:rsid w:val="008215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15E7"/>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3</cp:revision>
  <cp:lastPrinted>2018-07-26T06:26:00Z</cp:lastPrinted>
  <dcterms:created xsi:type="dcterms:W3CDTF">2018-07-26T06:18:00Z</dcterms:created>
  <dcterms:modified xsi:type="dcterms:W3CDTF">2018-07-26T06:26:00Z</dcterms:modified>
</cp:coreProperties>
</file>